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046" w:rsidRDefault="007258A8">
      <w:pPr>
        <w:pStyle w:val="Heading3"/>
        <w:spacing w:after="321"/>
        <w:jc w:val="center"/>
        <w:rPr>
          <w:b/>
          <w:bCs/>
          <w:sz w:val="36"/>
          <w:szCs w:val="36"/>
        </w:rPr>
      </w:pPr>
      <w:bookmarkStart w:id="0" w:name="_GoBack"/>
      <w:bookmarkEnd w:id="0"/>
      <w:r>
        <w:rPr>
          <w:b/>
          <w:bCs/>
          <w:sz w:val="36"/>
          <w:szCs w:val="36"/>
        </w:rPr>
        <w:t>НАРЕДБА № 5 от 31.07.2014 г. за строителството в горските територии без промяна на предназначението им</w:t>
      </w:r>
    </w:p>
    <w:p w:rsidR="00533046" w:rsidRDefault="007258A8">
      <w:pPr>
        <w:spacing w:before="120"/>
        <w:ind w:firstLine="990"/>
      </w:pPr>
      <w:r>
        <w:t>Издадена от министъра на земеделието и храните и министъра на регионалното развитие, обн., ДВ, бр. 68 от 15.08.2014 г., изм., бр. 106 от 23.12.2014 г., в сила от 23.12.2014 г., изм. и доп., бр. 19 от 2.03.2018 г.</w:t>
      </w:r>
    </w:p>
    <w:p w:rsidR="00533046" w:rsidRDefault="007258A8">
      <w:pPr>
        <w:pStyle w:val="Heading3"/>
        <w:spacing w:after="32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Глава първа</w:t>
      </w:r>
      <w:r>
        <w:rPr>
          <w:b/>
          <w:bCs/>
          <w:sz w:val="36"/>
          <w:szCs w:val="36"/>
        </w:rPr>
        <w:br/>
        <w:t>ОБЩИ ПОЛОЖЕНИЯ</w:t>
      </w:r>
    </w:p>
    <w:p w:rsidR="00533046" w:rsidRDefault="007258A8">
      <w:pPr>
        <w:spacing w:before="120"/>
        <w:ind w:firstLine="990"/>
      </w:pPr>
      <w:r>
        <w:rPr>
          <w:b/>
          <w:bCs/>
        </w:rPr>
        <w:t>Чл. 1</w:t>
      </w:r>
      <w:r>
        <w:t>. С тази на</w:t>
      </w:r>
      <w:r>
        <w:t>редба се определят:</w:t>
      </w:r>
    </w:p>
    <w:p w:rsidR="00533046" w:rsidRDefault="007258A8">
      <w:r>
        <w:t>1. условията и редът за строителството на обектите по чл. 54, ал. 1 от Закона за горите (ЗГ) без промяна на предназначението на горските територии;</w:t>
      </w:r>
    </w:p>
    <w:p w:rsidR="00533046" w:rsidRDefault="007258A8">
      <w:r>
        <w:t>2. (доп. – ДВ, бр. 19 от 2018 г.) условията и редът за изграждането на сградите и съоръж</w:t>
      </w:r>
      <w:r>
        <w:t>енията по чл. 153, ал. 1 от ЗГ;</w:t>
      </w:r>
    </w:p>
    <w:p w:rsidR="00533046" w:rsidRDefault="007258A8">
      <w:r>
        <w:t>3. класификацията на горските пътища и нормативите за проектирането, изграждането и въвеждането им в експлоатация.</w:t>
      </w:r>
    </w:p>
    <w:p w:rsidR="00533046" w:rsidRDefault="007258A8">
      <w:pPr>
        <w:spacing w:before="120"/>
        <w:ind w:firstLine="990"/>
      </w:pPr>
      <w:r>
        <w:rPr>
          <w:b/>
          <w:bCs/>
        </w:rPr>
        <w:t>Чл. 2</w:t>
      </w:r>
      <w:r>
        <w:t>. (1) Наредбата се прилага за всички горски територии по смисъла на ЗГ независимо от тяхната собственост</w:t>
      </w:r>
      <w:r>
        <w:t>.</w:t>
      </w:r>
    </w:p>
    <w:p w:rsidR="00533046" w:rsidRDefault="007258A8">
      <w:r>
        <w:t>(2) (доп. – ДВ, бр. 19 от 2018 г.) Наредбата не се отнася за изграждане на обектите по реда на чл. 61, ал. 1 от ЗГ.</w:t>
      </w:r>
    </w:p>
    <w:p w:rsidR="00533046" w:rsidRDefault="007258A8">
      <w:pPr>
        <w:spacing w:before="120"/>
        <w:ind w:firstLine="990"/>
      </w:pPr>
      <w:r>
        <w:rPr>
          <w:b/>
          <w:bCs/>
        </w:rPr>
        <w:t>Чл. 3</w:t>
      </w:r>
      <w:r>
        <w:t>. (1) (Доп. – ДВ, бр. 19 от 2018 г.) Строителството на обекти по чл. 54, ал. 1 от ЗГ и изграждането на сградите и съоръженията по чл.</w:t>
      </w:r>
      <w:r>
        <w:t xml:space="preserve"> 153, ал. 1 от ЗГ в защитени територии и защитени зони се извършва в съответствие с режима на дейностите, установен по реда на Закона за защитените територии (ЗЗТ) и Закона за биологичното разнообразие (ЗБР), със заповедта за обявяване и с плана за управле</w:t>
      </w:r>
      <w:r>
        <w:t>ние на защитените територии и защитените зони, устройствените и техническите планове и проекти.</w:t>
      </w:r>
    </w:p>
    <w:p w:rsidR="00533046" w:rsidRDefault="007258A8">
      <w:r>
        <w:t xml:space="preserve">(2) За строителство в горски територии, попадащи в обхвата на зона "А" и зона "Б" по Закона за устройството на Черноморското крайбрежие, се спазват правилата и </w:t>
      </w:r>
      <w:r>
        <w:t>нормативите за съответната зона.</w:t>
      </w:r>
    </w:p>
    <w:p w:rsidR="00533046" w:rsidRDefault="007258A8">
      <w:r>
        <w:t>(3) Когато една и съща горска територия попада под няколко ограничителни режима, се прилага по-строгият режим съгласно действащата нормативна уредба.</w:t>
      </w:r>
    </w:p>
    <w:p w:rsidR="00533046" w:rsidRDefault="007258A8">
      <w:pPr>
        <w:pStyle w:val="Heading3"/>
        <w:spacing w:after="32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Глава втора</w:t>
      </w:r>
      <w:r>
        <w:rPr>
          <w:b/>
          <w:bCs/>
          <w:sz w:val="36"/>
          <w:szCs w:val="36"/>
        </w:rPr>
        <w:br/>
        <w:t>УСЛОВИЯ И РЕД ЗА СТРОИТЕЛСТВО НА ОБЕКТИ ПО ЧЛ. 54, АЛ. 1 ЗГ Б</w:t>
      </w:r>
      <w:r>
        <w:rPr>
          <w:b/>
          <w:bCs/>
          <w:sz w:val="36"/>
          <w:szCs w:val="36"/>
        </w:rPr>
        <w:t>ЕЗ ПРОМЯНА НА ПРЕДНАЗНАЧЕНИЕТО НА ГОРСКИТЕ ТЕРИТОРИИ</w:t>
      </w:r>
    </w:p>
    <w:p w:rsidR="00533046" w:rsidRDefault="007258A8">
      <w:pPr>
        <w:spacing w:before="120"/>
        <w:ind w:firstLine="990"/>
      </w:pPr>
      <w:r>
        <w:rPr>
          <w:b/>
          <w:bCs/>
        </w:rPr>
        <w:t>Чл. 4</w:t>
      </w:r>
      <w:r>
        <w:t xml:space="preserve">. (1) (Доп. – ДВ, бр. 19 от 2018 г.) Строителството на обектите по чл. 54, ал. 1 от ЗГ се разрешава и извършва при условията и по реда на Закона за устройство на територията (ЗУТ) и ЗГ при спазване </w:t>
      </w:r>
      <w:r>
        <w:t xml:space="preserve">на действащите технически, здравни, екологични и противопожарни изисквания, нормативи и стандарти за съответните обекти и съоръжения, както и съобразно възможностите за осигуряване на транспортен достъп, водоснабдяване, отвеждане и заустване </w:t>
      </w:r>
      <w:r>
        <w:lastRenderedPageBreak/>
        <w:t>на отпадъчни в</w:t>
      </w:r>
      <w:r>
        <w:t>оди, електроснабдяване и др., когато това е необходимо за нормалното функциониране на обектите.</w:t>
      </w:r>
    </w:p>
    <w:p w:rsidR="00533046" w:rsidRDefault="007258A8">
      <w:r>
        <w:t xml:space="preserve">(2) (Доп. – ДВ, бр. 19 от 2018 г.) За строителството на обектите по ал. 1 се учредява право на строеж при условията и по реда на раздел IV от глава трета на ЗГ </w:t>
      </w:r>
      <w:r>
        <w:t>освен в случаите по чл. 58 и чл. 59, ал. 2 от ЗГ.</w:t>
      </w:r>
    </w:p>
    <w:p w:rsidR="00533046" w:rsidRDefault="007258A8">
      <w:pPr>
        <w:spacing w:before="120"/>
        <w:ind w:firstLine="990"/>
      </w:pPr>
      <w:r>
        <w:rPr>
          <w:b/>
          <w:bCs/>
        </w:rPr>
        <w:t>Чл. 5</w:t>
      </w:r>
      <w:r>
        <w:t>. (1) (Доп. – ДВ, бр. 19 от 2018 г.) Строителството на обекти по чл. 54, ал. 1, т. 3, букви "б" – "е" от ЗГ се допуска, когато е предвидено в приетите за съответната територия горскостопански планове и</w:t>
      </w:r>
      <w:r>
        <w:t xml:space="preserve"> програми или планове за управление на защитени територии.</w:t>
      </w:r>
    </w:p>
    <w:p w:rsidR="00533046" w:rsidRDefault="007258A8">
      <w:r>
        <w:t>(2) Строителството на обекти по ал. 1 може да бъде възложено от собственика или от физически или юридически лица, които имат сключен договор за изпълнението на част от предвидените за съответната територия горскостопански планове и програми за изграждане н</w:t>
      </w:r>
      <w:r>
        <w:t>а сгради и съоръжения, свързани с управлението, възпроизводството, ползването и опазването на горите и дивеча.</w:t>
      </w:r>
    </w:p>
    <w:p w:rsidR="00533046" w:rsidRDefault="007258A8">
      <w:r>
        <w:t>(3) (Доп. – ДВ, бр. 19 от 2018 г.) В случаите на ал. 2 се учредява право на строеж по реда на чл. 56 от ЗГ за срока на договора за изпълнение. Сл</w:t>
      </w:r>
      <w:r>
        <w:t>ед изтичане срока на учреденото право на строеж изграденият обект преминава в собственост на собственика на земята, ако друго не е уговорено в акта за учредяването.</w:t>
      </w:r>
    </w:p>
    <w:p w:rsidR="00533046" w:rsidRDefault="007258A8">
      <w:pPr>
        <w:spacing w:before="120"/>
        <w:ind w:firstLine="990"/>
      </w:pPr>
      <w:r>
        <w:rPr>
          <w:b/>
          <w:bCs/>
        </w:rPr>
        <w:t>Чл. 6</w:t>
      </w:r>
      <w:r>
        <w:t>. (1) (Доп. – ДВ, бр. 19 от 2018 г.) Строителството на обектите по чл. 54, ал. 1 от ЗГ</w:t>
      </w:r>
      <w:r>
        <w:t xml:space="preserve"> се допуска въз основа на подробен устройствен план (ПУП) – план за застрояване или парцеларен план за елементите на техническата инфраструктура, изработен, одобрен и влязъл в сила при условията и по реда на ЗУТ. За горски и защитени територии могат да се </w:t>
      </w:r>
      <w:r>
        <w:t>разработват специализирани подробни устройствени планове по чл. 111 от ЗУТ, които решават отделни устройствени проблеми и обхващат структурни части от горската територия.</w:t>
      </w:r>
    </w:p>
    <w:p w:rsidR="00533046" w:rsidRDefault="007258A8">
      <w:r>
        <w:t>(2) (Изм. и доп. – ДВ, бр. 19 от 2018 г.) Подробният устройствен план по ал. 1 се изр</w:t>
      </w:r>
      <w:r>
        <w:t>аботва съгласно изискванията на Наредба № 8 от 2001 г. за обема и съдържанието на устройствените планове (ДВ, бр. 57 от 2001 г.) въз основа на задание, съгласувано по реда на чл. 125 от ЗУТ.</w:t>
      </w:r>
    </w:p>
    <w:p w:rsidR="00533046" w:rsidRDefault="007258A8">
      <w:r>
        <w:t>(3) (Доп. – ДВ, бр. 19 от 2018 г.) Подробният устройствен план се</w:t>
      </w:r>
      <w:r>
        <w:t xml:space="preserve"> одобрява след предварително съгласуване по чл. 55 от ЗГ освен в случаите по чл. 55, ал. 6 и чл. 59, ал. 2 от ЗГ.</w:t>
      </w:r>
    </w:p>
    <w:p w:rsidR="00533046" w:rsidRDefault="007258A8">
      <w:r>
        <w:t>(4) (Доп. – ДВ, бр. 19 от 2018 г.) Подробният устройствен план за обектите по чл. 54, ал. 1, т. 3, букви "б" – "е" от ЗГ се одобрява след пред</w:t>
      </w:r>
      <w:r>
        <w:t>ставяне на писмено становище на директора на съответната регионална дирекция по горите, с което се удостоверява спазването на условията по чл. 54, ал. 3 от ЗГ и изискванията на тази наредба.</w:t>
      </w:r>
    </w:p>
    <w:p w:rsidR="00533046" w:rsidRDefault="007258A8">
      <w:pPr>
        <w:spacing w:before="120"/>
        <w:ind w:firstLine="990"/>
      </w:pPr>
      <w:r>
        <w:rPr>
          <w:b/>
          <w:bCs/>
        </w:rPr>
        <w:t>Чл. 7</w:t>
      </w:r>
      <w:r>
        <w:t>. (1) С ПУП – план за застрояване по чл. 6, се определят:</w:t>
      </w:r>
    </w:p>
    <w:p w:rsidR="00533046" w:rsidRDefault="007258A8">
      <w:r>
        <w:t>1.</w:t>
      </w:r>
      <w:r>
        <w:t xml:space="preserve"> двор за застрояване – частта от поземления имот, в която могат да се изграждат сгради, постройки и съоръжения; </w:t>
      </w:r>
    </w:p>
    <w:p w:rsidR="00533046" w:rsidRDefault="007258A8">
      <w:r>
        <w:t>2. характер и начин на застрояване;</w:t>
      </w:r>
    </w:p>
    <w:p w:rsidR="00533046" w:rsidRDefault="007258A8">
      <w:r>
        <w:t>3. показатели за застрояване – плътност на застрояване и интензивност на застрояване;</w:t>
      </w:r>
    </w:p>
    <w:p w:rsidR="00533046" w:rsidRDefault="007258A8">
      <w:r>
        <w:t>4. линии на застроява</w:t>
      </w:r>
      <w:r>
        <w:t>не;</w:t>
      </w:r>
    </w:p>
    <w:p w:rsidR="00533046" w:rsidRDefault="007258A8">
      <w:r>
        <w:t>5. предназначението на строежите.</w:t>
      </w:r>
    </w:p>
    <w:p w:rsidR="00533046" w:rsidRDefault="007258A8">
      <w:r>
        <w:t>(2) За осигуряване на транспортен достъп, електрозахранване, водоснабдяване и отвеждане на отпадните води, необходими за нормалното функциониране на обектите, освен план за застрояване се изработва и одобрява и парцеларен план за елементите на техническата</w:t>
      </w:r>
      <w:r>
        <w:t xml:space="preserve"> инфраструктура.</w:t>
      </w:r>
    </w:p>
    <w:p w:rsidR="00533046" w:rsidRDefault="007258A8">
      <w:r>
        <w:t xml:space="preserve">(3) (Доп. – ДВ, бр. 19 от 2018 г.) Изискванията за определяне на двора за застрояване и за характера на застрояване, както и допустимите максимални стойности на показателите за </w:t>
      </w:r>
      <w:r>
        <w:lastRenderedPageBreak/>
        <w:t>застрояване на обектите по чл. 54, ал. 1, т. 3, букви "б" – "ж</w:t>
      </w:r>
      <w:r>
        <w:t>" от ЗГ, са определени в приложение № 1.</w:t>
      </w:r>
    </w:p>
    <w:p w:rsidR="00533046" w:rsidRDefault="007258A8">
      <w:r>
        <w:t>(4) (Изм. – ДВ, бр. 19 от 2018 г.) Дворът за застрояване на фермите за отглеждане на дивеч не може да отстои на по-малко от 500 м от населени места и от животновъдни стопанства.</w:t>
      </w:r>
    </w:p>
    <w:p w:rsidR="00533046" w:rsidRDefault="007258A8">
      <w:r>
        <w:t xml:space="preserve">(5) Дворът за застрояване може да се </w:t>
      </w:r>
      <w:r>
        <w:t xml:space="preserve">огражда с леки огради съобразно характера на района, теренните особености и съществуващата горскодървесна растителност при спазване изискванията на ЗУТ и на ЗЗТ, когато се намира в защитена територия. </w:t>
      </w:r>
    </w:p>
    <w:p w:rsidR="00533046" w:rsidRDefault="007258A8">
      <w:r>
        <w:t>(6) Не се допуска ограждане на заслоните за обществено</w:t>
      </w:r>
      <w:r>
        <w:t xml:space="preserve"> ползване.</w:t>
      </w:r>
    </w:p>
    <w:p w:rsidR="00533046" w:rsidRDefault="007258A8">
      <w:r>
        <w:t xml:space="preserve">(7) Разстоянието от сградите, постройките и съоръженията до границите на поземлен имот не може да бъде по-малко от 4 м. </w:t>
      </w:r>
    </w:p>
    <w:p w:rsidR="00533046" w:rsidRDefault="007258A8">
      <w:r>
        <w:t>(8) Свързано застрояване се допуска при наличие на съгласие на собствениците на имотите, в които се установява свързаното за</w:t>
      </w:r>
      <w:r>
        <w:t>строяване, изразено с декларация с нотариална заверка на подписите.</w:t>
      </w:r>
    </w:p>
    <w:p w:rsidR="00533046" w:rsidRDefault="007258A8">
      <w:r>
        <w:t>(9) В посетителските и информационните центрове, в горските и ловните кантони и в контролните горски пунктове не се допуска изграждане на помещения за постоянно или временно обитаване осве</w:t>
      </w:r>
      <w:r>
        <w:t>н за нуждите на длъжностни лица или лица, упражняващи дейности, свързани с управлението, възпроизводството, ползването и опазването на горите и дивеча, както и за охраната и за поддържането на сградата.</w:t>
      </w:r>
    </w:p>
    <w:p w:rsidR="00533046" w:rsidRDefault="007258A8">
      <w:pPr>
        <w:spacing w:before="120"/>
        <w:ind w:firstLine="990"/>
      </w:pPr>
      <w:r>
        <w:rPr>
          <w:b/>
          <w:bCs/>
        </w:rPr>
        <w:t>Чл. 8</w:t>
      </w:r>
      <w:r>
        <w:t>. (1) С ПУП – парцеларен план за елементите на т</w:t>
      </w:r>
      <w:r>
        <w:t>ехническата инфраструктура по чл. 6, се определят:</w:t>
      </w:r>
    </w:p>
    <w:p w:rsidR="00533046" w:rsidRDefault="007258A8">
      <w:r>
        <w:t>1. трасето на линейните обекти на техническата инфраструктура;</w:t>
      </w:r>
    </w:p>
    <w:p w:rsidR="00533046" w:rsidRDefault="007258A8">
      <w:r>
        <w:t>2. границите на сервитутните зони, които се учредяват за изграждане и/или обслужване на съответната техническа инфраструктура;</w:t>
      </w:r>
    </w:p>
    <w:p w:rsidR="00533046" w:rsidRDefault="007258A8">
      <w:r>
        <w:t>3. местоположен</w:t>
      </w:r>
      <w:r>
        <w:t>ието на принадлежащите към съответната техническа инфраструктура станции, стълбове, съоръжения и други елементи.</w:t>
      </w:r>
    </w:p>
    <w:p w:rsidR="00533046" w:rsidRDefault="007258A8">
      <w:r>
        <w:t>(2) При проектирането и строителството на линейните обекти на техническата инфраструктура се спазват изискванията на специалните закони и на по</w:t>
      </w:r>
      <w:r>
        <w:t>дзаконовите нормативни актове по тяхното прилагане в зависимост от вида и спецификата на обекта.</w:t>
      </w:r>
    </w:p>
    <w:p w:rsidR="00533046" w:rsidRDefault="007258A8">
      <w:r>
        <w:t>(3) Горските автомобилни пътища се проектират и изграждат при спазване на изискванията на глава четвърта.</w:t>
      </w:r>
    </w:p>
    <w:p w:rsidR="00533046" w:rsidRDefault="007258A8">
      <w:pPr>
        <w:spacing w:before="120"/>
        <w:ind w:firstLine="990"/>
      </w:pPr>
      <w:r>
        <w:rPr>
          <w:b/>
          <w:bCs/>
        </w:rPr>
        <w:t>Чл. 9</w:t>
      </w:r>
      <w:r>
        <w:t>. (1) (Доп. – ДВ, бр. 19 от 2018 г.) За строител</w:t>
      </w:r>
      <w:r>
        <w:t>ството на обектите по чл. 54, ал. 1 от ЗГ се одобрява инвестиционен проект и се издава разрешение за строеж при условията и по реда на ЗУТ.</w:t>
      </w:r>
    </w:p>
    <w:p w:rsidR="00533046" w:rsidRDefault="007258A8">
      <w:r>
        <w:t>(2) В 7-дневен срок преди започване на строителството възложителите, на които е издадено разрешение за строеж, уведо</w:t>
      </w:r>
      <w:r>
        <w:t>мяват писмено регионалната дирекция по горите и съответното държавно предприятие, в чийто район на дейност попадат обектите, като прилагат копие от влязлото в сила разрешение за строеж.</w:t>
      </w:r>
    </w:p>
    <w:p w:rsidR="00533046" w:rsidRDefault="007258A8">
      <w:pPr>
        <w:spacing w:before="120"/>
        <w:ind w:firstLine="990"/>
      </w:pPr>
      <w:r>
        <w:rPr>
          <w:b/>
          <w:bCs/>
        </w:rPr>
        <w:t>Чл. 10</w:t>
      </w:r>
      <w:r>
        <w:t>. (Доп. – ДВ, бр. 19 от 2018 г.) След завършване на строителството обектите по чл. 54, ал. 1 от ЗГ се въвеждат в експлоатация при условията и по реда на ЗУТ.</w:t>
      </w:r>
    </w:p>
    <w:p w:rsidR="00533046" w:rsidRDefault="007258A8">
      <w:pPr>
        <w:pStyle w:val="Heading3"/>
        <w:spacing w:after="32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Глава трета</w:t>
      </w:r>
      <w:r>
        <w:rPr>
          <w:b/>
          <w:bCs/>
          <w:sz w:val="36"/>
          <w:szCs w:val="36"/>
        </w:rPr>
        <w:br/>
        <w:t>УСЛОВИЯ И РЕД ЗА ИЗГРАЖДАНЕ НА СГРАДИ И СЪОРЪЖЕНИЯ ПО ЧЛ. 153, АЛ. 1 ОТ ЗАКОНА ЗА ГОРИ</w:t>
      </w:r>
      <w:r>
        <w:rPr>
          <w:b/>
          <w:bCs/>
          <w:sz w:val="36"/>
          <w:szCs w:val="36"/>
        </w:rPr>
        <w:t>ТЕ</w:t>
      </w:r>
    </w:p>
    <w:p w:rsidR="00533046" w:rsidRDefault="007258A8">
      <w:pPr>
        <w:spacing w:before="120"/>
        <w:ind w:firstLine="990"/>
      </w:pPr>
      <w:r>
        <w:rPr>
          <w:b/>
          <w:bCs/>
        </w:rPr>
        <w:lastRenderedPageBreak/>
        <w:t>Чл. 11</w:t>
      </w:r>
      <w:r>
        <w:t>. (Доп. – ДВ, бр. 19 от 2018 г.) Изграждането на сградите и съоръженията по чл. 153, ал. 1 от ЗГ не се смята за строителство и за него не се изисква издаване на разрешение за строеж при условията и по реда на ЗУТ.</w:t>
      </w:r>
    </w:p>
    <w:p w:rsidR="00533046" w:rsidRDefault="007258A8">
      <w:pPr>
        <w:spacing w:before="120"/>
        <w:ind w:firstLine="990"/>
      </w:pPr>
      <w:r>
        <w:rPr>
          <w:b/>
          <w:bCs/>
        </w:rPr>
        <w:t>Чл. 12</w:t>
      </w:r>
      <w:r>
        <w:t>. (1) (Изм. – ДВ, бр. 19 от</w:t>
      </w:r>
      <w:r>
        <w:t xml:space="preserve"> 2018 г.) Изграждането на сгради и съоръжения по чл. 11 се извършва от собственика на имота. </w:t>
      </w:r>
    </w:p>
    <w:p w:rsidR="00533046" w:rsidRDefault="007258A8">
      <w:r>
        <w:t>(2) (Изм. – ДВ, бр. 19 от 2018 г.) Изграждането на сгради и съоръженията по чл. 11 може да се извършва и от друго заинтересувано лице въз основа на съгласие, изра</w:t>
      </w:r>
      <w:r>
        <w:t>зено чрез:</w:t>
      </w:r>
    </w:p>
    <w:p w:rsidR="00533046" w:rsidRDefault="007258A8">
      <w:r>
        <w:t>1. декларация с нотариална заверка на подписа от собственика, когато собственик на имота е физическо лице;</w:t>
      </w:r>
    </w:p>
    <w:p w:rsidR="00533046" w:rsidRDefault="007258A8">
      <w:r>
        <w:t>2. (изм. – ДВ, бр. 19 от 2018 г.) декларация с нотариална заверка на подписа на съсобственик, притежаващ повече от половината от общия имо</w:t>
      </w:r>
      <w:r>
        <w:t>т;</w:t>
      </w:r>
    </w:p>
    <w:p w:rsidR="00533046" w:rsidRDefault="007258A8">
      <w:r>
        <w:t>3. (изм. – ДВ, бр. 19 от 2018 г.) решение на управителния орган и/или от общото събрание на собствениците на юридически лица и на техни сдружения по чл. 183 от ЗГ, когато имотът е собственост на юридическо лице;</w:t>
      </w:r>
    </w:p>
    <w:p w:rsidR="00533046" w:rsidRDefault="007258A8">
      <w:r>
        <w:t>4. (доп. – ДВ, бр. 19 от 2018 г.) писмено</w:t>
      </w:r>
      <w:r>
        <w:t xml:space="preserve"> съгласие на директора на държавното предприятие по чл. 163 от ЗГ, учебно-опитно горско стопанство или оправомощени от тях длъжностни лица, когато имотът е държавна собственост;</w:t>
      </w:r>
    </w:p>
    <w:p w:rsidR="00533046" w:rsidRDefault="007258A8">
      <w:r>
        <w:t>5. (доп. – ДВ, бр. 19 от 2018 г.) решение на общинския съвет или писмено съгла</w:t>
      </w:r>
      <w:r>
        <w:t>сие от кмета на общината, в случай че е упълномощен от общинския съвет, когато имотът е общинска собственост.</w:t>
      </w:r>
    </w:p>
    <w:p w:rsidR="00533046" w:rsidRDefault="007258A8">
      <w:r>
        <w:t>(3) (Изм. – ДВ, бр. 19 от 2018 г.) Съгласието за изграждане на сгради и съоръженията може да бъде ограничено със срок.</w:t>
      </w:r>
    </w:p>
    <w:p w:rsidR="00533046" w:rsidRDefault="007258A8">
      <w:pPr>
        <w:spacing w:before="120"/>
        <w:ind w:firstLine="990"/>
      </w:pPr>
      <w:r>
        <w:rPr>
          <w:b/>
          <w:bCs/>
        </w:rPr>
        <w:t>Чл. 13</w:t>
      </w:r>
      <w:r>
        <w:t>. (1) (Доп. – ДВ, бр. 19 от 2018 г.) Изграждането на сградите и съоръженията по чл. 153, ал. 1 от ЗГ се разрешава със заповед на директора на съответната регионална дирекция по горите в района на дейност, в който попада обектът, или със заповед на оправомо</w:t>
      </w:r>
      <w:r>
        <w:t xml:space="preserve">щено от него длъжностно лице. </w:t>
      </w:r>
    </w:p>
    <w:p w:rsidR="00533046" w:rsidRDefault="007258A8">
      <w:r>
        <w:t>(2) (Изм. и доп. – ДВ, бр. 19 от 2018 г.) За изграждането на временните горски пътища, както и на късометражните временни въжени линии и временните складове за дървесина, не се издава заповед на директора на регионална дирекц</w:t>
      </w:r>
      <w:r>
        <w:t xml:space="preserve">ия по горите. Те се изграждат само ако са предвидени в одобрен технологичен план по наредбата по чл. 101, ал. 3 от ЗГ. В случаите, когато се засягат чужди имоти, трябва да има съгласие по чл. 12 от собствениците на засегнатите имоти. </w:t>
      </w:r>
    </w:p>
    <w:p w:rsidR="00533046" w:rsidRDefault="007258A8">
      <w:r>
        <w:t xml:space="preserve">(3) Заповедта по ал. </w:t>
      </w:r>
      <w:r>
        <w:t>1 се издава за срока на експлоатация, но не повече от срока, определен в писменото съгласие по чл. 12, ал. 3.</w:t>
      </w:r>
    </w:p>
    <w:p w:rsidR="00533046" w:rsidRDefault="007258A8">
      <w:pPr>
        <w:spacing w:before="120"/>
        <w:ind w:firstLine="990"/>
      </w:pPr>
      <w:r>
        <w:rPr>
          <w:b/>
          <w:bCs/>
        </w:rPr>
        <w:t>Чл. 14</w:t>
      </w:r>
      <w:r>
        <w:t xml:space="preserve">. (1) (Доп. – ДВ, бр. 19 от 2018 г.) За издаването на заповедта по чл. 13, ал. 1 се подава заявление до директора на съответната регионална </w:t>
      </w:r>
      <w:r>
        <w:t>дирекция по горите лично от собственика на имота или от упълномощен негов представител, или от друго заинтересовано лице по чл. 12, ал. 2, което съдържа данни за:</w:t>
      </w:r>
    </w:p>
    <w:p w:rsidR="00533046" w:rsidRDefault="007258A8">
      <w:r>
        <w:t>1. вида и предназначението на сградите и съоръженията;</w:t>
      </w:r>
    </w:p>
    <w:p w:rsidR="00533046" w:rsidRDefault="007258A8">
      <w:r>
        <w:t>2. местоположението на имота – местност, землище на населено място, община, област;</w:t>
      </w:r>
    </w:p>
    <w:p w:rsidR="00533046" w:rsidRDefault="007258A8">
      <w:r>
        <w:t>3. срока на експлоатация.</w:t>
      </w:r>
    </w:p>
    <w:p w:rsidR="00533046" w:rsidRDefault="007258A8">
      <w:r>
        <w:t>(2) Към заявлението се прилагат:</w:t>
      </w:r>
    </w:p>
    <w:p w:rsidR="00533046" w:rsidRDefault="007258A8">
      <w:r>
        <w:t>1. документ за собственост на поземления имот и доказателства за изразеното съгласие по чл. 12, ал. 2 в случаите,</w:t>
      </w:r>
      <w:r>
        <w:t xml:space="preserve"> когато е необходимо;</w:t>
      </w:r>
    </w:p>
    <w:p w:rsidR="00533046" w:rsidRDefault="007258A8">
      <w:r>
        <w:t>2. (изм. – ДВ, бр. 19 от 2018 г.) данни от документ за самоличност, а за юридическите лица – ЕИК или код по БУЛСТАТ на заявителя, които се проверяват при подаването на заявлението;</w:t>
      </w:r>
    </w:p>
    <w:p w:rsidR="00533046" w:rsidRDefault="007258A8">
      <w:r>
        <w:lastRenderedPageBreak/>
        <w:t>3. скица-копие от горскостопанската карта в М 1:10 00</w:t>
      </w:r>
      <w:r>
        <w:t>0 или скица от кадастрална карта (карта на възстановената собственост), върху която да е отразено местоположението на обекта и съществуващата инфраструктура;</w:t>
      </w:r>
    </w:p>
    <w:p w:rsidR="00533046" w:rsidRDefault="007258A8">
      <w:r>
        <w:t>4. (изм. – ДВ, бр. 19 от 2018 г.) проект за изпълнение, в който е посочен и срок за изпълнение.</w:t>
      </w:r>
    </w:p>
    <w:p w:rsidR="00533046" w:rsidRDefault="007258A8">
      <w:r>
        <w:t>(3</w:t>
      </w:r>
      <w:r>
        <w:t>) Заявления, които не съдържат документите по ал. 2, се връщат в цялост.</w:t>
      </w:r>
    </w:p>
    <w:p w:rsidR="00533046" w:rsidRDefault="007258A8">
      <w:pPr>
        <w:spacing w:before="120"/>
        <w:ind w:firstLine="990"/>
      </w:pPr>
      <w:r>
        <w:rPr>
          <w:b/>
          <w:bCs/>
        </w:rPr>
        <w:t>Чл. 15</w:t>
      </w:r>
      <w:r>
        <w:t>. (1) Заповедта по чл. 13, ал. 1 или мотивираният отказ се издават в 14-дневен срок от постъпването на заявлението.</w:t>
      </w:r>
    </w:p>
    <w:p w:rsidR="00533046" w:rsidRDefault="007258A8">
      <w:r>
        <w:t xml:space="preserve">(2) Когато трябва да се поиска съгласието или становището на </w:t>
      </w:r>
      <w:r>
        <w:t>друг орган, срокът за издаването на акта се смята съответно продължен, но с не повече от 14 дни.</w:t>
      </w:r>
    </w:p>
    <w:p w:rsidR="00533046" w:rsidRDefault="007258A8">
      <w:r>
        <w:t>(3) В случаите по ал. 2 административният орган незабавно уведомява заявителя за удължаването на срока.</w:t>
      </w:r>
    </w:p>
    <w:p w:rsidR="00533046" w:rsidRDefault="007258A8">
      <w:r>
        <w:t>(4) Административните актове по ал. 1 съдържат:</w:t>
      </w:r>
    </w:p>
    <w:p w:rsidR="00533046" w:rsidRDefault="007258A8">
      <w:r>
        <w:t>1. наим</w:t>
      </w:r>
      <w:r>
        <w:t>енование на органа, който го издава;</w:t>
      </w:r>
    </w:p>
    <w:p w:rsidR="00533046" w:rsidRDefault="007258A8">
      <w:r>
        <w:t>2. наименование на акта, номер и дата на издаване;</w:t>
      </w:r>
    </w:p>
    <w:p w:rsidR="00533046" w:rsidRDefault="007258A8">
      <w:r>
        <w:t>3. носител на правата по издадената заповед;</w:t>
      </w:r>
    </w:p>
    <w:p w:rsidR="00533046" w:rsidRDefault="007258A8">
      <w:r>
        <w:t>4. фактически и правни основания за издаване на акта;</w:t>
      </w:r>
    </w:p>
    <w:p w:rsidR="00533046" w:rsidRDefault="007258A8">
      <w:r>
        <w:t xml:space="preserve">5. права и задължения; </w:t>
      </w:r>
    </w:p>
    <w:p w:rsidR="00533046" w:rsidRDefault="007258A8">
      <w:r>
        <w:t>6. (изм. – ДВ, бр. 19 от 2018 г.) срок за изп</w:t>
      </w:r>
      <w:r>
        <w:t>ълнение;</w:t>
      </w:r>
    </w:p>
    <w:p w:rsidR="00533046" w:rsidRDefault="007258A8">
      <w:r>
        <w:t>7. срок за ползване на сградата или съоръжението;</w:t>
      </w:r>
    </w:p>
    <w:p w:rsidR="00533046" w:rsidRDefault="007258A8">
      <w:r>
        <w:t>8. ред и условия за премахване на сградата или съоръжението;</w:t>
      </w:r>
    </w:p>
    <w:p w:rsidR="00533046" w:rsidRDefault="007258A8">
      <w:r>
        <w:t>9. ред и срок за обжалване;</w:t>
      </w:r>
    </w:p>
    <w:p w:rsidR="00533046" w:rsidRDefault="007258A8">
      <w:r>
        <w:t>10. подпис на лицето, издало акта, с означаване на длъжността му.</w:t>
      </w:r>
    </w:p>
    <w:p w:rsidR="00533046" w:rsidRDefault="007258A8">
      <w:r>
        <w:t>(5) (Изм. – ДВ, бр. 19 от 2018 г.) Административните актове по ал. 1 се съобщават на заявителя и на собствениците на засегнатите поземлени имоти и могат да бъдат обжалвани по реда на Административнопроцесуалния кодекс (АПК).</w:t>
      </w:r>
    </w:p>
    <w:p w:rsidR="00533046" w:rsidRDefault="007258A8">
      <w:r>
        <w:t xml:space="preserve">(6) (Изм. – ДВ, бр. 19 от 2018 </w:t>
      </w:r>
      <w:r>
        <w:t>г.) Срокът по чл. 13, ал. 3 може да бъде продължаван по реда на АПК.</w:t>
      </w:r>
    </w:p>
    <w:p w:rsidR="00533046" w:rsidRDefault="007258A8">
      <w:pPr>
        <w:spacing w:before="120"/>
        <w:ind w:firstLine="990"/>
      </w:pPr>
      <w:r>
        <w:rPr>
          <w:b/>
          <w:bCs/>
        </w:rPr>
        <w:t>Чл. 16</w:t>
      </w:r>
      <w:r>
        <w:t>. (Доп. – ДВ, бр. 19 от 2018 г.) За издаване на заповедта по чл. 13, ал. 1 или за изграждането на съоръженията по чл. 13, ал. 2 е необходимо да са налице следните специфични условия</w:t>
      </w:r>
      <w:r>
        <w:t xml:space="preserve"> за:</w:t>
      </w:r>
    </w:p>
    <w:p w:rsidR="00533046" w:rsidRDefault="007258A8">
      <w:r>
        <w:t xml:space="preserve">1. временните горски пътища: </w:t>
      </w:r>
    </w:p>
    <w:p w:rsidR="00533046" w:rsidRDefault="007258A8">
      <w:r>
        <w:t>а) (доп. – ДВ, бр. 19 от 2018 г.) да са предвидени в одобрен технологичен план по наредбата по чл. 101, ал. 3 от ЗГ; или</w:t>
      </w:r>
    </w:p>
    <w:p w:rsidR="00533046" w:rsidRDefault="007258A8">
      <w:r>
        <w:t>б) да са предвидени за обслужване на имоти, за които с горскостопански план или програма, или ловнос</w:t>
      </w:r>
      <w:r>
        <w:t>топански план са предвидени горскостопански и/или ловностопански мероприятия; или</w:t>
      </w:r>
    </w:p>
    <w:p w:rsidR="00533046" w:rsidRDefault="007258A8">
      <w:r>
        <w:t>в) да са предвидени за осигуряване на достъп до съществуващи сгради и съоръжения, свързани с управлението, възпроизводството, ползването и опазването на горите и дивеча, независимо от тяхната собственост;</w:t>
      </w:r>
    </w:p>
    <w:p w:rsidR="00533046" w:rsidRDefault="007258A8">
      <w:r>
        <w:t>г) (изм. и доп. – ДВ, бр. 19 от 2018 г.) широчината</w:t>
      </w:r>
      <w:r>
        <w:t xml:space="preserve"> на просеките, необходими за изграждане на временните горски пътища, е до 8 м, а при наклон на терена над 45 % – до 10 м;</w:t>
      </w:r>
    </w:p>
    <w:p w:rsidR="00533046" w:rsidRDefault="007258A8">
      <w:r>
        <w:t>2. (изм. – ДВ, бр. 19 от 2018 г.) временните въжени линии – разстоянията между просеките да не е по-малко от 60 м в зависимост от реле</w:t>
      </w:r>
      <w:r>
        <w:t>фа на терена и вида на сечта, а широчината на просеките, измерена между короните на оставащите дървета, е:</w:t>
      </w:r>
    </w:p>
    <w:p w:rsidR="00533046" w:rsidRDefault="007258A8">
      <w:r>
        <w:t>а) за късометражни с дължина до 500 м – до 4 м;</w:t>
      </w:r>
    </w:p>
    <w:p w:rsidR="00533046" w:rsidRDefault="007258A8">
      <w:r>
        <w:t>б) за дългометражни въжени линии с дължина над 500 м – до 10 м;</w:t>
      </w:r>
    </w:p>
    <w:p w:rsidR="00533046" w:rsidRDefault="007258A8">
      <w:r>
        <w:lastRenderedPageBreak/>
        <w:t xml:space="preserve">в) (нова – ДВ, бр. 19 от 2018 г.) за </w:t>
      </w:r>
      <w:r>
        <w:t>ветрилообразно разположени просеки на късометражни и дългометражни въжени линии разстоянията между закотвянията на съседните трасета е не по-малко от:</w:t>
      </w:r>
    </w:p>
    <w:p w:rsidR="00533046" w:rsidRDefault="007258A8">
      <w:r>
        <w:t>– 120 м за късометражните въжени линии;</w:t>
      </w:r>
    </w:p>
    <w:p w:rsidR="00533046" w:rsidRDefault="007258A8">
      <w:r>
        <w:t>– 200 м за дългометражните линии;</w:t>
      </w:r>
    </w:p>
    <w:p w:rsidR="00533046" w:rsidRDefault="007258A8">
      <w:r>
        <w:t>3. (доп. – ДВ, бр. 19 от 2018 г</w:t>
      </w:r>
      <w:r>
        <w:t xml:space="preserve">.) складове за дървесина – да са предвидени в одобрен технологичен план по наредбата по чл. 101, ал. 3 от ЗГ; </w:t>
      </w:r>
    </w:p>
    <w:p w:rsidR="00533046" w:rsidRDefault="007258A8">
      <w:r>
        <w:t xml:space="preserve">4. техникоукрепителни съоръжения за защита срещу ерозията и пороите; </w:t>
      </w:r>
    </w:p>
    <w:p w:rsidR="00533046" w:rsidRDefault="007258A8">
      <w:r>
        <w:t xml:space="preserve">а) да са предвидени в технически проект, план или програма за защита срещу </w:t>
      </w:r>
      <w:r>
        <w:t>ерозията и пороите; или</w:t>
      </w:r>
    </w:p>
    <w:p w:rsidR="00533046" w:rsidRDefault="007258A8">
      <w:r>
        <w:t>б) да са предназначени за отстраняване на последствията от бедствия и аварии;</w:t>
      </w:r>
    </w:p>
    <w:p w:rsidR="00533046" w:rsidRDefault="007258A8">
      <w:r>
        <w:t>5. временни пожаронаблюдателни кули – да са предвидени в план за дейности по опазване от пожари, както и в планираните мерки и мероприятия за защита от по</w:t>
      </w:r>
      <w:r>
        <w:t>жари;</w:t>
      </w:r>
    </w:p>
    <w:p w:rsidR="00533046" w:rsidRDefault="007258A8">
      <w:r>
        <w:t xml:space="preserve">6. ловностопански съоръжения – да са предвидени в план за ловностопански дейности или получено разрешение по реда на чл. 8 от Закона за лова и опазване на дивеча; </w:t>
      </w:r>
    </w:p>
    <w:p w:rsidR="00533046" w:rsidRDefault="007258A8">
      <w:r>
        <w:t>7. (изм. – ДВ, бр. 19 от 2018 г.) рибностопански съоръжения – да са биоинженерни съоръ</w:t>
      </w:r>
      <w:r>
        <w:t>жения, обслужващи дейностите по разработени, утвърдени и оповестени от Изпълнителна агенция по рибарство и аквакултури рибностопански мероприятия;</w:t>
      </w:r>
    </w:p>
    <w:p w:rsidR="00533046" w:rsidRDefault="007258A8">
      <w:r>
        <w:t>8. (доп. – ДВ, бр. 19 от 2018 г.) заслони извън случаите по чл. 54, ал. 1, т. 3, буква "б" от ЗГ – да не са з</w:t>
      </w:r>
      <w:r>
        <w:t xml:space="preserve">атворени напълно от ограждащи стени и не са свързани, включително и с временни връзки, към мрежите и съоръженията на техническата инфраструктура; </w:t>
      </w:r>
    </w:p>
    <w:p w:rsidR="00533046" w:rsidRDefault="007258A8">
      <w:r>
        <w:t>9. съоръжения, осигуряващи опазването на културни ценности – да са съгласувани от Министерството на културата</w:t>
      </w:r>
      <w:r>
        <w:t xml:space="preserve">; </w:t>
      </w:r>
    </w:p>
    <w:p w:rsidR="00533046" w:rsidRDefault="007258A8">
      <w:r>
        <w:t>10. стационари за мониторинг – да са свързани с изпълнението на научна задача, международен проект или друго за осъществяване на наблюдения, събиране на информация, обобщаване и анализ за тенденциите в състоянието на горските територии.</w:t>
      </w:r>
    </w:p>
    <w:p w:rsidR="00533046" w:rsidRDefault="007258A8">
      <w:pPr>
        <w:spacing w:before="120"/>
        <w:ind w:firstLine="990"/>
      </w:pPr>
      <w:r>
        <w:rPr>
          <w:b/>
          <w:bCs/>
        </w:rPr>
        <w:t>Чл. 17</w:t>
      </w:r>
      <w:r>
        <w:t>. (1) Възл</w:t>
      </w:r>
      <w:r>
        <w:t xml:space="preserve">ожителите, на които е издадена заповед по чл. 13, ал. 1, в 7-дневен срок, преди да започне изграждането, уведомяват писмено регионалната дирекция по горите и съответното държавно предприятие, в чийто район на дейност попадат обектите. </w:t>
      </w:r>
    </w:p>
    <w:p w:rsidR="00533046" w:rsidRDefault="007258A8">
      <w:r>
        <w:t>(2) Изградените обек</w:t>
      </w:r>
      <w:r>
        <w:t>ти по чл. 11 се приемат с протокол на комисия, назначена от директора на регионалната дирекция по горите, в 30-дневен срок от постъпване на искане от лицата по чл. 12.</w:t>
      </w:r>
    </w:p>
    <w:p w:rsidR="00533046" w:rsidRDefault="007258A8">
      <w:pPr>
        <w:pStyle w:val="Heading3"/>
        <w:spacing w:after="32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Глава четвърта</w:t>
      </w:r>
      <w:r>
        <w:rPr>
          <w:b/>
          <w:bCs/>
          <w:sz w:val="36"/>
          <w:szCs w:val="36"/>
        </w:rPr>
        <w:br/>
        <w:t>КЛАСИФИКАЦИЯ И НОРМАТИВИ ЗА ПРОЕКТИРАНЕ, ИЗГРАЖДАНЕ И ВЪВЕЖДАНЕ В ЕКСПЛОА</w:t>
      </w:r>
      <w:r>
        <w:rPr>
          <w:b/>
          <w:bCs/>
          <w:sz w:val="36"/>
          <w:szCs w:val="36"/>
        </w:rPr>
        <w:t>ТАЦИЯ НА ГОРСКИ ПЪТИЩА</w:t>
      </w:r>
    </w:p>
    <w:p w:rsidR="00533046" w:rsidRDefault="007258A8">
      <w:pPr>
        <w:pStyle w:val="Heading3"/>
        <w:spacing w:after="32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Раздел I</w:t>
      </w:r>
      <w:r>
        <w:rPr>
          <w:b/>
          <w:bCs/>
          <w:sz w:val="36"/>
          <w:szCs w:val="36"/>
        </w:rPr>
        <w:br/>
        <w:t>Подразделение и класификация на горските пътища</w:t>
      </w:r>
    </w:p>
    <w:p w:rsidR="00533046" w:rsidRDefault="007258A8">
      <w:pPr>
        <w:spacing w:before="120"/>
        <w:ind w:firstLine="990"/>
      </w:pPr>
      <w:r>
        <w:rPr>
          <w:b/>
          <w:bCs/>
        </w:rPr>
        <w:t>Чл. 18</w:t>
      </w:r>
      <w:r>
        <w:t>. (1) В зависимост от функционалното им предназначение горските пътища се подразделят на следните категории:</w:t>
      </w:r>
    </w:p>
    <w:p w:rsidR="00533046" w:rsidRDefault="007258A8">
      <w:r>
        <w:t>1. трайни горски пътища – пътища за свързване на горски територии помежду им или с републиканските и местните пътища;</w:t>
      </w:r>
    </w:p>
    <w:p w:rsidR="00533046" w:rsidRDefault="007258A8">
      <w:r>
        <w:lastRenderedPageBreak/>
        <w:t>2. временни горски пътища – пътища за обслужване на сечищата и други горскостопански обекти и свързването им с трайни горски пътища.</w:t>
      </w:r>
    </w:p>
    <w:p w:rsidR="00533046" w:rsidRDefault="007258A8">
      <w:r>
        <w:t>(2) Т</w:t>
      </w:r>
      <w:r>
        <w:t>райните горски пътища в зависимост от транспортноексплоатационното си и техническо ниво се класифицират, както следва:</w:t>
      </w:r>
    </w:p>
    <w:p w:rsidR="00533046" w:rsidRDefault="007258A8">
      <w:r>
        <w:t>1. първа степен – горски автомобилни пътища с интензивност на движението от 21 до 100 оразмерителни автомобила (ОА/ден) с оразмерителна о</w:t>
      </w:r>
      <w:r>
        <w:t>с 10 т и пътна конструкция с асфалтобетоново покритие;</w:t>
      </w:r>
    </w:p>
    <w:p w:rsidR="00533046" w:rsidRDefault="007258A8">
      <w:r>
        <w:t>2. втора степен – горски автомобилни пътища с интензивност на движението от 6 до 20 ОА/ден с оразмерителна ос 10 т и пътна конструкция с асфалтобетоново покритие или повърхностна обработка, или настилк</w:t>
      </w:r>
      <w:r>
        <w:t>а от трошен камък;</w:t>
      </w:r>
    </w:p>
    <w:p w:rsidR="00533046" w:rsidRDefault="007258A8">
      <w:r>
        <w:t>3. трета степен – горски автомобилни пътища с интензивност на движението до 5 ОА/ден с оразмерителна ос 10 т и пътна конструкция с асфалтобетоново покритие или повърхностна обработка, или настилка от трошен камък;</w:t>
      </w:r>
    </w:p>
    <w:p w:rsidR="00533046" w:rsidRDefault="007258A8">
      <w:r>
        <w:t>4. четвърта степен – го</w:t>
      </w:r>
      <w:r>
        <w:t>рски автомобилни пътища с интензивност на движението до 5 ОА/ден с оразмерителна ос 10 т, без настилка или с настилка от трошен камък.</w:t>
      </w:r>
    </w:p>
    <w:p w:rsidR="00533046" w:rsidRDefault="007258A8">
      <w:r>
        <w:t>(3) Временни горски пътища в зависимост от функционалното им предназначение се класифицират, както следва:</w:t>
      </w:r>
    </w:p>
    <w:p w:rsidR="00533046" w:rsidRDefault="007258A8">
      <w:r>
        <w:t xml:space="preserve">1. първи клас </w:t>
      </w:r>
      <w:r>
        <w:t>– тракторни горски пътища;</w:t>
      </w:r>
    </w:p>
    <w:p w:rsidR="00533046" w:rsidRDefault="007258A8">
      <w:r>
        <w:t>2. втори клас – коларски горски пътища.</w:t>
      </w:r>
    </w:p>
    <w:p w:rsidR="00533046" w:rsidRDefault="007258A8">
      <w:pPr>
        <w:pStyle w:val="Heading3"/>
        <w:spacing w:after="32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Раздел II</w:t>
      </w:r>
      <w:r>
        <w:rPr>
          <w:b/>
          <w:bCs/>
          <w:sz w:val="36"/>
          <w:szCs w:val="36"/>
        </w:rPr>
        <w:br/>
        <w:t>Трайни горски пътища</w:t>
      </w:r>
    </w:p>
    <w:p w:rsidR="00533046" w:rsidRDefault="007258A8">
      <w:pPr>
        <w:spacing w:before="120"/>
        <w:ind w:firstLine="990"/>
      </w:pPr>
      <w:r>
        <w:rPr>
          <w:b/>
          <w:bCs/>
        </w:rPr>
        <w:t>Чл. 19</w:t>
      </w:r>
      <w:r>
        <w:t>. (1) Нормативите за основните геометрични елементи на трайните горски пътища се определят в зависимост от тяхната степен, характер на терена и проектна</w:t>
      </w:r>
      <w:r>
        <w:t xml:space="preserve"> скорост съгласно приложение № 2.</w:t>
      </w:r>
    </w:p>
    <w:p w:rsidR="00533046" w:rsidRDefault="007258A8">
      <w:r>
        <w:t>(2) Теренът в зависимост от характера му се разделя на три категории:</w:t>
      </w:r>
    </w:p>
    <w:p w:rsidR="00533046" w:rsidRDefault="007258A8">
      <w:r>
        <w:t>1. равнинен – с преобладаващ напречен наклон до 15 % и надлъжен наклон до 3 %;</w:t>
      </w:r>
    </w:p>
    <w:p w:rsidR="00533046" w:rsidRDefault="007258A8">
      <w:r>
        <w:t>2. хълмист – с преобладаващ напречен наклон от 15 до 30 % и надлъжен накл</w:t>
      </w:r>
      <w:r>
        <w:t>он от 3 до 5 %;</w:t>
      </w:r>
    </w:p>
    <w:p w:rsidR="00533046" w:rsidRDefault="007258A8">
      <w:r>
        <w:t>3. планински – с преобладаващ напречен наклон над 30 % и надлъжен наклон над 5 %.</w:t>
      </w:r>
    </w:p>
    <w:p w:rsidR="00533046" w:rsidRDefault="007258A8">
      <w:r>
        <w:t>(3) При тежки теренни, геоложки или други условия се допуска прилагане на геометрични елементи за по-долна степен на трайни горски пътища за конкретни участъци.</w:t>
      </w:r>
    </w:p>
    <w:p w:rsidR="00533046" w:rsidRDefault="007258A8">
      <w:pPr>
        <w:spacing w:before="120"/>
        <w:ind w:firstLine="990"/>
      </w:pPr>
      <w:r>
        <w:rPr>
          <w:b/>
          <w:bCs/>
        </w:rPr>
        <w:t>Чл. 20</w:t>
      </w:r>
      <w:r>
        <w:t>. (1) (Изм. – ДВ, бр. 19 от 2018 г.) При тежки теренни условия се допуска увеличение на н</w:t>
      </w:r>
      <w:r>
        <w:t>адлъжния наклон с 3 % на разстояние до 300 м еднократно на пътна отсечка с дължина 1 км за пътища в планински терен, а за пътища четвърта степен се допуска увеличение на надлъжния наклон с 4 % при запазване на останалите параметри.</w:t>
      </w:r>
    </w:p>
    <w:p w:rsidR="00533046" w:rsidRDefault="007258A8">
      <w:r>
        <w:t>(2) При надлъжни наклони</w:t>
      </w:r>
      <w:r>
        <w:t xml:space="preserve"> над 7 % на всеки 2 до 2,5 км се проектират участъци с надлъжен наклон 2 – 3 % и дължина 150 до 200 м, в които се изграждат площадки за спиране на превозните средства.</w:t>
      </w:r>
    </w:p>
    <w:p w:rsidR="00533046" w:rsidRDefault="007258A8">
      <w:r>
        <w:t>(3) Минималният надлъжен наклон с оглед отводняването на пътя е 1 %, а по изключение 0,5</w:t>
      </w:r>
      <w:r>
        <w:t xml:space="preserve"> %.</w:t>
      </w:r>
    </w:p>
    <w:p w:rsidR="00533046" w:rsidRDefault="007258A8">
      <w:r>
        <w:t>(4) За пътища от четвърта степен се допуска намаляване минималните радиуси на вертикалните криви за:</w:t>
      </w:r>
    </w:p>
    <w:p w:rsidR="00533046" w:rsidRDefault="007258A8">
      <w:r>
        <w:t>1. изпъкнали – до 500 м;</w:t>
      </w:r>
    </w:p>
    <w:p w:rsidR="00533046" w:rsidRDefault="007258A8">
      <w:r>
        <w:t>2. вдлъбнати – до 250 м.</w:t>
      </w:r>
    </w:p>
    <w:p w:rsidR="00533046" w:rsidRDefault="007258A8">
      <w:r>
        <w:t xml:space="preserve">(5) При разнопосочни хоризонтални криви се предвижда минимален задължителен прав участък 15 м, а при </w:t>
      </w:r>
      <w:r>
        <w:t xml:space="preserve">еднопосочни се допуска допиране на хоризонталните криви, но не и застъпване или </w:t>
      </w:r>
      <w:r>
        <w:lastRenderedPageBreak/>
        <w:t>пресичане. Радиусите на две съседни криви следва да са близки по стойност или в съотношение не по-голямо от 1:3.</w:t>
      </w:r>
    </w:p>
    <w:p w:rsidR="00533046" w:rsidRDefault="007258A8">
      <w:r>
        <w:t>(6) При всички хоризонтални криви с радиус под 250 м се проекти</w:t>
      </w:r>
      <w:r>
        <w:t>ра уширение на настилката за пътища. Уширенията могат да се изграждат от вътрешната или от двете страни на кривата. При серпентини 1/3 от уширението е от външната и 2/3 – от вътрешната страна на кривата.</w:t>
      </w:r>
    </w:p>
    <w:p w:rsidR="00533046" w:rsidRDefault="007258A8">
      <w:r>
        <w:t>(7) На всеки 150 до 200 м по дължината на пътя се проектират уширения за разминаване с дължина 20 м и широчина 2 м за пътища от втора степен и 2,5 м – за трета и четвърта степен.</w:t>
      </w:r>
    </w:p>
    <w:p w:rsidR="00533046" w:rsidRDefault="007258A8">
      <w:r>
        <w:t>(8) При възможност на всеки 1500 м по дължината на пътя се проектират техноло</w:t>
      </w:r>
      <w:r>
        <w:t>гични обръщала с размери, позволяващи смяна на посоката на движение.</w:t>
      </w:r>
    </w:p>
    <w:p w:rsidR="00533046" w:rsidRDefault="007258A8">
      <w:r>
        <w:t>(9) За осигуряване отводняването на пътя и безопасността на движението пътното платно се оформя с напречни наклони:</w:t>
      </w:r>
    </w:p>
    <w:p w:rsidR="00533046" w:rsidRDefault="007258A8">
      <w:r>
        <w:t>1. в прав участък:</w:t>
      </w:r>
    </w:p>
    <w:p w:rsidR="00533046" w:rsidRDefault="007258A8">
      <w:r>
        <w:t xml:space="preserve">а) за двулентовите пътища – двустранен наклон – 2,5 </w:t>
      </w:r>
      <w:r>
        <w:t>%;</w:t>
      </w:r>
    </w:p>
    <w:p w:rsidR="00533046" w:rsidRDefault="007258A8">
      <w:r>
        <w:t>б) при еднолентовите пътища – едностранен наклон – 2,5 % за асфалтобетонови покрития и 4 % за трошенокаменни и баластрени;</w:t>
      </w:r>
    </w:p>
    <w:p w:rsidR="00533046" w:rsidRDefault="007258A8">
      <w:r>
        <w:t>2. в крива – едностранен наклон от 2,5 до 7 % в зависимост от радиуса;</w:t>
      </w:r>
    </w:p>
    <w:p w:rsidR="00533046" w:rsidRDefault="007258A8">
      <w:r>
        <w:t>3. банкетът в права е с наклон 6 %, а в крива – от 2,5 до 7</w:t>
      </w:r>
      <w:r>
        <w:t xml:space="preserve"> % в зависимост от радиуса;</w:t>
      </w:r>
    </w:p>
    <w:p w:rsidR="00533046" w:rsidRDefault="007258A8">
      <w:r>
        <w:t>4. промяна на напречния наклон се прави посредством преходна крива или рампа; за оси на въртене се използва оста на пътя или вътрешният ръб на настилката.</w:t>
      </w:r>
    </w:p>
    <w:p w:rsidR="00533046" w:rsidRDefault="007258A8">
      <w:pPr>
        <w:spacing w:before="120"/>
        <w:ind w:firstLine="990"/>
      </w:pPr>
      <w:r>
        <w:rPr>
          <w:b/>
          <w:bCs/>
        </w:rPr>
        <w:t>Чл. 21</w:t>
      </w:r>
      <w:r>
        <w:t xml:space="preserve">. (1) (Изм. – ДВ, бр. 19 от 2018 г.) Кръстовищата на горски пътища </w:t>
      </w:r>
      <w:r>
        <w:t>с републикански и местни пътища и железопътни линии, когато са допустими, се разрешават, проектират и изграждат при спазване на изискванията на съответните наредби по чл. 35 и 36 от Закона за пътищата и по чл. 30, ал. 1 от Закона за железопътния транспорт.</w:t>
      </w:r>
      <w:r>
        <w:t xml:space="preserve"> </w:t>
      </w:r>
    </w:p>
    <w:p w:rsidR="00533046" w:rsidRDefault="007258A8">
      <w:r>
        <w:t>(2) Кръстовища между горски пътища се изпълняват с минимален радиус на завиване 15 м в посока на превоза на материалите и 10 м в обратната посока. Минималният ъгъл на включване е 70° за пътищата от първа, втора, трета и четвърта степен.</w:t>
      </w:r>
    </w:p>
    <w:p w:rsidR="00533046" w:rsidRDefault="007258A8">
      <w:pPr>
        <w:spacing w:before="120"/>
        <w:ind w:firstLine="990"/>
      </w:pPr>
      <w:r>
        <w:rPr>
          <w:b/>
          <w:bCs/>
        </w:rPr>
        <w:t>Чл. 22</w:t>
      </w:r>
      <w:r>
        <w:t>. Инвестици</w:t>
      </w:r>
      <w:r>
        <w:t>онните проекти се изработват от проектанти, притежаващи проектантска правоспособност по Закона за камарите на архитектите и инженерите в инвестиционното проектиране.</w:t>
      </w:r>
    </w:p>
    <w:p w:rsidR="00533046" w:rsidRDefault="007258A8">
      <w:pPr>
        <w:pStyle w:val="Heading3"/>
        <w:spacing w:after="32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Раздел III</w:t>
      </w:r>
      <w:r>
        <w:rPr>
          <w:b/>
          <w:bCs/>
          <w:sz w:val="36"/>
          <w:szCs w:val="36"/>
        </w:rPr>
        <w:br/>
        <w:t>Временни горски пътища</w:t>
      </w:r>
    </w:p>
    <w:p w:rsidR="00533046" w:rsidRDefault="007258A8">
      <w:pPr>
        <w:spacing w:before="120"/>
        <w:ind w:firstLine="990"/>
      </w:pPr>
      <w:r>
        <w:rPr>
          <w:b/>
          <w:bCs/>
        </w:rPr>
        <w:t>Чл. 23</w:t>
      </w:r>
      <w:r>
        <w:t>. (1) Временни горски пътища се изграждат без настилка. Допуска се стабилизиране на земното платно с местни или кариерни материали.</w:t>
      </w:r>
    </w:p>
    <w:p w:rsidR="00533046" w:rsidRDefault="007258A8">
      <w:r>
        <w:t>(2) Тракторните и коларските горски пътища в зависимост от начина на извозване на дървените материали се разделят на две гру</w:t>
      </w:r>
      <w:r>
        <w:t xml:space="preserve">пи: </w:t>
      </w:r>
    </w:p>
    <w:p w:rsidR="00533046" w:rsidRDefault="007258A8">
      <w:r>
        <w:t>1. първа група – дървените материали се извозват, натоварени изцяло на транспортното средство;</w:t>
      </w:r>
    </w:p>
    <w:p w:rsidR="00533046" w:rsidRDefault="007258A8">
      <w:r>
        <w:t>2. втора група – дървените материали се извозват чрез влачене по терена.</w:t>
      </w:r>
    </w:p>
    <w:p w:rsidR="00533046" w:rsidRDefault="007258A8">
      <w:pPr>
        <w:spacing w:before="120"/>
        <w:ind w:firstLine="990"/>
      </w:pPr>
      <w:r>
        <w:rPr>
          <w:b/>
          <w:bCs/>
        </w:rPr>
        <w:t>Чл. 24</w:t>
      </w:r>
      <w:r>
        <w:t>. (1) Нормативите за основните геометрични елементи на горските тракторни път</w:t>
      </w:r>
      <w:r>
        <w:t>ища се определят в зависимост от тяхната група и типа на движещите се по тях трактори съгласно приложение № 3.</w:t>
      </w:r>
    </w:p>
    <w:p w:rsidR="00533046" w:rsidRDefault="007258A8">
      <w:r>
        <w:t>(2) Допуска се изграждането на напречни отводнителни окопи без облицовка.</w:t>
      </w:r>
    </w:p>
    <w:p w:rsidR="00533046" w:rsidRDefault="007258A8">
      <w:r>
        <w:lastRenderedPageBreak/>
        <w:t>(3) (Изм. – ДВ, бр. 19 от 2018 г.) Разстоянието между тракторните пътищ</w:t>
      </w:r>
      <w:r>
        <w:t>а се определя с технологичен план, одобрен по реда на наредбата по чл. 101, ал. 3 от ЗГ, според вида на сечта, съобразено с височината на дървостоя и наклона на терена, но не по-малко от 40 м.</w:t>
      </w:r>
    </w:p>
    <w:p w:rsidR="00533046" w:rsidRDefault="007258A8">
      <w:r>
        <w:t>(4) (Нова – ДВ, бр. 19 от 2018 г.) На неерозиращи терени с накл</w:t>
      </w:r>
      <w:r>
        <w:t>он над 40%, когато добитата дървесина гравитира към един временен склад, се допуска изграждане на тракторни пътища с разстояния между тях в долната част на склона, по-малки от 40 м.</w:t>
      </w:r>
    </w:p>
    <w:p w:rsidR="00533046" w:rsidRDefault="007258A8">
      <w:pPr>
        <w:spacing w:before="120"/>
        <w:ind w:firstLine="990"/>
      </w:pPr>
      <w:r>
        <w:rPr>
          <w:b/>
          <w:bCs/>
        </w:rPr>
        <w:t>Чл. 25</w:t>
      </w:r>
      <w:r>
        <w:t>. За изграждане на тракторни горски и коларски горски пътища се допу</w:t>
      </w:r>
      <w:r>
        <w:t>ска оформяне на земното платно.</w:t>
      </w:r>
    </w:p>
    <w:p w:rsidR="00533046" w:rsidRDefault="007258A8">
      <w:pPr>
        <w:spacing w:before="120"/>
        <w:ind w:firstLine="990"/>
      </w:pPr>
      <w:r>
        <w:rPr>
          <w:b/>
          <w:bCs/>
        </w:rPr>
        <w:t>Чл. 26</w:t>
      </w:r>
      <w:r>
        <w:t>. (1) Нормативите за основните геометрични параметри на коларските горски пътища се определят в зависимост от тяхната група съгласно приложение № 4.</w:t>
      </w:r>
    </w:p>
    <w:p w:rsidR="00533046" w:rsidRDefault="007258A8">
      <w:r>
        <w:t>(2) (Изм. – ДВ, бр. 19 от 2018 г.) Разстоянието между коларските пъти</w:t>
      </w:r>
      <w:r>
        <w:t>ща се определя с технологичен план, одобрен по реда на наредбата по чл. 101, ал. 3 от ЗГ, според вида на сечта, съобразено с височината на дървостоя и наклона на терена, но не по-малко от 40 м.</w:t>
      </w:r>
    </w:p>
    <w:p w:rsidR="00533046" w:rsidRDefault="007258A8">
      <w:r>
        <w:t>(3) (Нова – ДВ, бр. 19 от 2018 г.) На неерозиращи терени с нак</w:t>
      </w:r>
      <w:r>
        <w:t>лон над 40 %, когато добитата дървесина гравитира към един временен склад, се допуска изграждане на коларски пътища с разстояния между тях в долната част на склона, по-малки от 40 м.</w:t>
      </w:r>
    </w:p>
    <w:p w:rsidR="00533046" w:rsidRDefault="007258A8">
      <w:pPr>
        <w:spacing w:before="120"/>
        <w:ind w:firstLine="990"/>
      </w:pPr>
      <w:r>
        <w:rPr>
          <w:b/>
          <w:bCs/>
        </w:rPr>
        <w:t>Чл. 27</w:t>
      </w:r>
      <w:r>
        <w:t>. (1) Проектирането на тракторни горски пътища се извършва от лица,</w:t>
      </w:r>
      <w:r>
        <w:t xml:space="preserve"> вписани в публичния регистър на Изпълнителната агенция по горите за извършване на лесовъдска практика "изработване на проекти за временни горски пътища и съоръженията към тях".</w:t>
      </w:r>
    </w:p>
    <w:p w:rsidR="00533046" w:rsidRDefault="007258A8">
      <w:r>
        <w:t xml:space="preserve">(2) Проектирането на коларски пътища се извършва от лица, вписани в публичния </w:t>
      </w:r>
      <w:r>
        <w:t>регистър на Изпълнителната агенция по горите за извършване на лесовъдска практика "планиране и организация на добива на дървесина".</w:t>
      </w:r>
    </w:p>
    <w:p w:rsidR="00533046" w:rsidRDefault="007258A8">
      <w:pPr>
        <w:pStyle w:val="Heading3"/>
        <w:spacing w:after="32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ДОПЪЛНИТЕЛНА РАЗПОРЕДБА</w:t>
      </w:r>
    </w:p>
    <w:p w:rsidR="00533046" w:rsidRDefault="007258A8">
      <w:pPr>
        <w:spacing w:before="120"/>
        <w:ind w:firstLine="990"/>
      </w:pPr>
      <w:r>
        <w:rPr>
          <w:b/>
          <w:bCs/>
        </w:rPr>
        <w:t>§ 1</w:t>
      </w:r>
      <w:r>
        <w:t>. По смисъла на тази наредба:</w:t>
      </w:r>
    </w:p>
    <w:p w:rsidR="00533046" w:rsidRDefault="007258A8">
      <w:r>
        <w:t>1. "Биотехнически съоръжения" са лаборатории, оранжерии, закрити и открити експериментални площи, волиери, площадки за орнитологични наблюдения и други обекти, чието предназначение е опазване, поддържане, възпроизводство и мониторинг на биологичното разноо</w:t>
      </w:r>
      <w:r>
        <w:t>бразие извън тези в определението по т. 6.</w:t>
      </w:r>
    </w:p>
    <w:p w:rsidR="00533046" w:rsidRDefault="007258A8">
      <w:r>
        <w:t>2. "Временни въжени линии" са горски въжени линии, изградени за извоз на дървесина от сечищата за срок, определен с позволителното за сеч, издадено по реда на ЗГ.</w:t>
      </w:r>
    </w:p>
    <w:p w:rsidR="00533046" w:rsidRDefault="007258A8">
      <w:r>
        <w:t>3. "Временни пожаронаблюдателни кули" е стационаре</w:t>
      </w:r>
      <w:r>
        <w:t>н наблюдателен пункт, изграден в горски територии с висок клас на пожарна опасност, изграждането на които е предназначено за изпълнението и поддържането на мерките и мероприятията за защита на горските територии от пожари.</w:t>
      </w:r>
    </w:p>
    <w:p w:rsidR="00533046" w:rsidRDefault="007258A8">
      <w:r>
        <w:t>4. (Доп. – ДВ, бр. 19 от 2018 г.)</w:t>
      </w:r>
      <w:r>
        <w:t xml:space="preserve"> "Двор за застрояване" представлява част от поземления имот, определена с ПУП за застрояване на обекти по чл. 54, ал. 1, т. 3, букви "б" – "ж" от ЗГ.</w:t>
      </w:r>
    </w:p>
    <w:p w:rsidR="00533046" w:rsidRDefault="007258A8">
      <w:r>
        <w:t>5. "Зооветеринарни съоръжения" – пунктове, халета, стационари, огради, центрове за размножаване, рехабилит</w:t>
      </w:r>
      <w:r>
        <w:t>ация и адаптация, електронни пастири, както и съоръжения за профилактика, ограничаване и ликвидиране на опасни заразни болести.</w:t>
      </w:r>
    </w:p>
    <w:p w:rsidR="00533046" w:rsidRDefault="007258A8">
      <w:r>
        <w:t xml:space="preserve">6. (Изм. – ДВ, бр. 19 от 2018 г.) "Ловностопански съоръжения" са базите за интензивно стопанисване на дивеча, оградените площи, </w:t>
      </w:r>
      <w:r>
        <w:t>ловни заслони и капаните за улов на едър дивеч.</w:t>
      </w:r>
    </w:p>
    <w:p w:rsidR="00533046" w:rsidRDefault="007258A8">
      <w:r>
        <w:t>7. (Изм. – ДВ, бр. 19 от 2018 г.) "Настилка" е система от конструктивни пластове на пътното покритие.</w:t>
      </w:r>
    </w:p>
    <w:p w:rsidR="00533046" w:rsidRDefault="007258A8">
      <w:r>
        <w:lastRenderedPageBreak/>
        <w:t>8. "Оразмерителен автомобил" е автомобил с натоварване на задна задвижваща ос с тегло 100 kN (10 т).</w:t>
      </w:r>
    </w:p>
    <w:p w:rsidR="00533046" w:rsidRDefault="007258A8">
      <w:r>
        <w:t>9. "П</w:t>
      </w:r>
      <w:r>
        <w:t>роектна скорост на пътя" е безопасната скорост за движение на единичен автомобил при мокро и чисто покритие в участъците от пътя с най-неблагоприятни геометрични елементи при определени теренни условия.</w:t>
      </w:r>
    </w:p>
    <w:p w:rsidR="00533046" w:rsidRDefault="007258A8">
      <w:r>
        <w:t>10. "Разстояние за видимост при спиране пред препятст</w:t>
      </w:r>
      <w:r>
        <w:t>вие" е минимална дължина на пътната отсечка, която трябва да бъде видима от водача, за да може той безопасно да спре пред първото възникнало препятствие върху пътната повърхност.</w:t>
      </w:r>
    </w:p>
    <w:p w:rsidR="00533046" w:rsidRDefault="007258A8">
      <w:r>
        <w:t xml:space="preserve">11. "Разстояние за видимост при изпреварване" е минимална дължина на пътната </w:t>
      </w:r>
      <w:r>
        <w:t>отсечка, която трябва да бъде видима от водача, за да може той безопасно да извърши изпреварване.</w:t>
      </w:r>
    </w:p>
    <w:p w:rsidR="00533046" w:rsidRDefault="007258A8">
      <w:r>
        <w:t>12. "Рибностопански съоръжения" са рибни прагове и проходи и други съоръжения, пряко свързани със стопанисването на рибата.</w:t>
      </w:r>
    </w:p>
    <w:p w:rsidR="00533046" w:rsidRDefault="007258A8">
      <w:r>
        <w:t>13. "Съоръжения, осигуряващи опазв</w:t>
      </w:r>
      <w:r>
        <w:t>ането на културни ценности" са леки конструкции от естествени материали, осигуряващи достъпа, предпазващи от неблагоприятни атмосферни условия и подпомагащи реставрационни и консервационни дейности, както и благоприятстващи експонирането им.</w:t>
      </w:r>
    </w:p>
    <w:p w:rsidR="00533046" w:rsidRDefault="007258A8">
      <w:r>
        <w:t>14. "Стационар</w:t>
      </w:r>
      <w:r>
        <w:t>и за мониторинг" са мобилна техника за наблюдения, временни заграждения, подвижни помещения за обитаване, леки конструкции постройки, изградени за периода на наблюдение, съгласно научна задача, международен проект, или друга възникнала нужда, доказани с оф</w:t>
      </w:r>
      <w:r>
        <w:t xml:space="preserve">ициален документ, за осъществяване на наблюдения, събиране на информация, обобщаване и анализ за тенденциите в състоянието на горските територии в зависимост от факторите на средата и тяхната динамика. </w:t>
      </w:r>
    </w:p>
    <w:p w:rsidR="00533046" w:rsidRDefault="007258A8">
      <w:r>
        <w:t>15. "Серпентина" е система от външни криви и преходни</w:t>
      </w:r>
      <w:r>
        <w:t xml:space="preserve"> прави за свързване на две направления в случай, когато върховият ъгъл е много остър и свързването на полигоновите страни с кръгови криви, вписани в него, води до чувствително намаляване на дължината на пътното трасе и силно увеличаване на надлъжния наклон</w:t>
      </w:r>
      <w:r>
        <w:t>.</w:t>
      </w:r>
    </w:p>
    <w:p w:rsidR="00533046" w:rsidRDefault="007258A8">
      <w:r>
        <w:t>16. "Тежки теренни условия" са тези, при които има отвесни теренни форми, заблатеност, свлачища, срутища и др.</w:t>
      </w:r>
    </w:p>
    <w:p w:rsidR="00533046" w:rsidRDefault="007258A8">
      <w:r>
        <w:t>17. (Доп. – ДВ, бр. 19 от 2018 г.) "Техникоукрепителни съоръжения за борба срещу ерозията и пороите" са съоръжения за запазване на почвите от е</w:t>
      </w:r>
      <w:r>
        <w:t>розия и за предотвратяване на повредите, разрушенията и засипването на горски територии, определени с наредбата по чл. 95, ал. 2, т. 4 от ЗГ.</w:t>
      </w:r>
    </w:p>
    <w:p w:rsidR="00533046" w:rsidRDefault="007258A8">
      <w:r>
        <w:t>18. "Централни складове за дървесина" са терени, обособени за складиране на постъпилата дървесина от временните ск</w:t>
      </w:r>
      <w:r>
        <w:t>ладове.</w:t>
      </w:r>
    </w:p>
    <w:p w:rsidR="00533046" w:rsidRDefault="007258A8">
      <w:r>
        <w:t>19. (Нова – ДВ, бр. 19 от 2018 г.) "Неерозиращи терени" са терени без ерозия или с ерозия до 2-ра степен.</w:t>
      </w:r>
    </w:p>
    <w:p w:rsidR="00533046" w:rsidRDefault="007258A8">
      <w:pPr>
        <w:pStyle w:val="Heading3"/>
        <w:spacing w:after="32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ПРЕХОДНИ И ЗАКЛЮЧИТЕЛНИ РАЗПОРЕДБИ</w:t>
      </w:r>
    </w:p>
    <w:p w:rsidR="00533046" w:rsidRDefault="007258A8">
      <w:pPr>
        <w:spacing w:before="120"/>
        <w:ind w:firstLine="990"/>
      </w:pPr>
      <w:r>
        <w:rPr>
          <w:b/>
          <w:bCs/>
        </w:rPr>
        <w:t>§ 2</w:t>
      </w:r>
      <w:r>
        <w:t>. (Изм. – ДВ, бр. 19 от 2018 г.) Наредбата се издава на основание чл. 152, ал. 2 от ЗГ и отменя Наредба № 39 от 2006 г. за строителство в горите и земите от горския фонд (ДВ, бр. 38 от 2006 г.).</w:t>
      </w:r>
    </w:p>
    <w:p w:rsidR="00533046" w:rsidRDefault="007258A8">
      <w:pPr>
        <w:spacing w:before="120"/>
        <w:ind w:firstLine="990"/>
      </w:pPr>
      <w:r>
        <w:rPr>
          <w:b/>
          <w:bCs/>
        </w:rPr>
        <w:t>§ 3</w:t>
      </w:r>
      <w:r>
        <w:t>. Започнати процедури по реда на Наредба № 39 от 2006 г. з</w:t>
      </w:r>
      <w:r>
        <w:t>а строителство в горите и земите от горския фонд се довършват по досегашния ред.</w:t>
      </w:r>
    </w:p>
    <w:p w:rsidR="00533046" w:rsidRDefault="007258A8">
      <w:pPr>
        <w:spacing w:before="120"/>
        <w:ind w:firstLine="990"/>
      </w:pPr>
      <w:r>
        <w:rPr>
          <w:b/>
          <w:bCs/>
        </w:rPr>
        <w:lastRenderedPageBreak/>
        <w:t>§ 4</w:t>
      </w:r>
      <w:r>
        <w:t>. До изработване на плановете за дейности по опазване от пожари изграждането на временни пожаронаблюдателни кули се съобразява с лесоустройствените проекти, планове и прогр</w:t>
      </w:r>
      <w:r>
        <w:t>ами.</w:t>
      </w:r>
    </w:p>
    <w:p w:rsidR="00533046" w:rsidRDefault="007258A8">
      <w:pPr>
        <w:spacing w:before="120"/>
        <w:ind w:firstLine="990"/>
      </w:pPr>
      <w:r>
        <w:rPr>
          <w:b/>
          <w:bCs/>
        </w:rPr>
        <w:t>§ 5</w:t>
      </w:r>
      <w:r>
        <w:t>. Изпълнението на наредбата се възлага на изпълнителния директор на Изпълнителната агенция по горите или упълномощено от него лице.</w:t>
      </w:r>
    </w:p>
    <w:p w:rsidR="00533046" w:rsidRDefault="007258A8">
      <w:pPr>
        <w:spacing w:before="120"/>
        <w:ind w:firstLine="990"/>
      </w:pPr>
      <w:r>
        <w:rPr>
          <w:b/>
          <w:bCs/>
        </w:rPr>
        <w:t>§ 6</w:t>
      </w:r>
      <w:r>
        <w:t xml:space="preserve">. (Изм. – ДВ, бр. 106 от 2014 г., в сила от 23.12.2014 г., бр. 19 от 2018 г.) Указания по прилагане на наредбата </w:t>
      </w:r>
      <w:r>
        <w:t>дава министърът на земеделието, храните и горите и/или министърът на регионалното развитие и благоустройството.</w:t>
      </w:r>
    </w:p>
    <w:p w:rsidR="00533046" w:rsidRDefault="007258A8">
      <w:pPr>
        <w:rPr>
          <w:rFonts w:ascii="Courier" w:eastAsia="Courier" w:hAnsi="Courier" w:cs="Courier"/>
          <w:sz w:val="20"/>
          <w:szCs w:val="20"/>
        </w:rPr>
      </w:pPr>
      <w:r>
        <w:rPr>
          <w:rFonts w:ascii="Courier" w:eastAsia="Courier" w:hAnsi="Courier" w:cs="Courier"/>
          <w:b/>
          <w:bCs/>
          <w:sz w:val="20"/>
          <w:szCs w:val="20"/>
        </w:rPr>
        <w:t>Приложение № 1</w:t>
      </w:r>
      <w:r>
        <w:rPr>
          <w:rFonts w:ascii="Courier" w:eastAsia="Courier" w:hAnsi="Courier" w:cs="Courier"/>
          <w:sz w:val="20"/>
          <w:szCs w:val="20"/>
        </w:rPr>
        <w:t>към чл. 7, ал. 3</w:t>
      </w:r>
    </w:p>
    <w:tbl>
      <w:tblPr>
        <w:tblW w:w="7954" w:type="dxa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4"/>
      </w:tblGrid>
      <w:tr w:rsidR="00533046">
        <w:trPr>
          <w:tblCellSpacing w:w="0" w:type="dxa"/>
        </w:trPr>
        <w:tc>
          <w:tcPr>
            <w:tcW w:w="795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533046" w:rsidRDefault="00533046">
            <w:pPr>
              <w:rPr>
                <w:rFonts w:ascii="Courier" w:eastAsia="Courier" w:hAnsi="Courier" w:cs="Courier"/>
                <w:sz w:val="20"/>
                <w:szCs w:val="20"/>
              </w:rPr>
            </w:pPr>
          </w:p>
          <w:tbl>
            <w:tblPr>
              <w:tblW w:w="792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04"/>
              <w:gridCol w:w="2079"/>
              <w:gridCol w:w="1633"/>
              <w:gridCol w:w="1808"/>
            </w:tblGrid>
            <w:tr w:rsidR="00533046">
              <w:tc>
                <w:tcPr>
                  <w:tcW w:w="24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Видове обекти по чл. 54, ал. 1, т. 3, букви "б" – "е"</w:t>
                  </w:r>
                </w:p>
              </w:tc>
              <w:tc>
                <w:tcPr>
                  <w:tcW w:w="2079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Двор за застрояване</w:t>
                  </w:r>
                </w:p>
              </w:tc>
              <w:tc>
                <w:tcPr>
                  <w:tcW w:w="1633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Показатели за застрояване</w:t>
                  </w:r>
                </w:p>
              </w:tc>
              <w:tc>
                <w:tcPr>
                  <w:tcW w:w="180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Характер на застрояване</w:t>
                  </w:r>
                </w:p>
              </w:tc>
            </w:tr>
            <w:tr w:rsidR="00533046">
              <w:tc>
                <w:tcPr>
                  <w:tcW w:w="240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r>
                    <w:t>Заслони за обществено ползване</w:t>
                  </w:r>
                </w:p>
              </w:tc>
              <w:tc>
                <w:tcPr>
                  <w:tcW w:w="207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r>
                    <w:t>-</w:t>
                  </w:r>
                </w:p>
              </w:tc>
              <w:tc>
                <w:tcPr>
                  <w:tcW w:w="16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r>
                    <w:t>ЗП – до 100 кв. м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r>
                    <w:t>Ниско</w:t>
                  </w:r>
                  <w:r>
                    <w:br/>
                    <w:t>на 1 етаж с височина до 3,50 м</w:t>
                  </w:r>
                </w:p>
              </w:tc>
            </w:tr>
            <w:tr w:rsidR="00533046">
              <w:tc>
                <w:tcPr>
                  <w:tcW w:w="240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r>
                    <w:t xml:space="preserve">Ферми за отглеждане на дивеч </w:t>
                  </w:r>
                </w:p>
              </w:tc>
              <w:tc>
                <w:tcPr>
                  <w:tcW w:w="207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r>
                    <w:t xml:space="preserve">До 25 дка </w:t>
                  </w:r>
                </w:p>
              </w:tc>
              <w:tc>
                <w:tcPr>
                  <w:tcW w:w="16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r>
                    <w:t>Пл – до 40 %*</w:t>
                  </w:r>
                  <w:r>
                    <w:br/>
                    <w:t>Кинт – 0,4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r>
                    <w:t>Ниско</w:t>
                  </w:r>
                  <w:r>
                    <w:br/>
                    <w:t>на 1 етаж **</w:t>
                  </w:r>
                </w:p>
              </w:tc>
            </w:tr>
            <w:tr w:rsidR="00533046">
              <w:tc>
                <w:tcPr>
                  <w:tcW w:w="240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r>
                    <w:t xml:space="preserve">Риболюпилни и рибарници </w:t>
                  </w:r>
                </w:p>
              </w:tc>
              <w:tc>
                <w:tcPr>
                  <w:tcW w:w="207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r>
                    <w:t>До 5 дка</w:t>
                  </w:r>
                </w:p>
              </w:tc>
              <w:tc>
                <w:tcPr>
                  <w:tcW w:w="16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r>
                    <w:t>Пл – до 5 %*</w:t>
                  </w:r>
                  <w:r>
                    <w:br/>
                  </w:r>
                  <w:r>
                    <w:t>Кинт – 0,1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r>
                    <w:t>Ниско</w:t>
                  </w:r>
                  <w:r>
                    <w:br/>
                    <w:t>до 2 етажа **</w:t>
                  </w:r>
                </w:p>
              </w:tc>
            </w:tr>
            <w:tr w:rsidR="00533046">
              <w:tc>
                <w:tcPr>
                  <w:tcW w:w="240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r>
                    <w:t>Посетителски и информационни центрове</w:t>
                  </w:r>
                </w:p>
              </w:tc>
              <w:tc>
                <w:tcPr>
                  <w:tcW w:w="207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r>
                    <w:t>10 % от площта на имота, но не повече от 0,5 дка</w:t>
                  </w:r>
                </w:p>
              </w:tc>
              <w:tc>
                <w:tcPr>
                  <w:tcW w:w="16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r>
                    <w:t>Пл – до 50 %</w:t>
                  </w:r>
                  <w:r>
                    <w:br/>
                    <w:t>Кинт – до 1,0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r>
                    <w:t>Ниско</w:t>
                  </w:r>
                  <w:r>
                    <w:br/>
                    <w:t>до 2 етажа с височина до 7,50м</w:t>
                  </w:r>
                </w:p>
              </w:tc>
            </w:tr>
            <w:tr w:rsidR="00533046">
              <w:tc>
                <w:tcPr>
                  <w:tcW w:w="240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r>
                    <w:t>Горски и ловни кантони</w:t>
                  </w:r>
                </w:p>
              </w:tc>
              <w:tc>
                <w:tcPr>
                  <w:tcW w:w="207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r>
                    <w:t>10 % от площта на имота, но не повече от 1 дка</w:t>
                  </w:r>
                </w:p>
              </w:tc>
              <w:tc>
                <w:tcPr>
                  <w:tcW w:w="16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r>
                    <w:t>Пл – до 10 %</w:t>
                  </w:r>
                  <w:r>
                    <w:br/>
                    <w:t>Кинт – до 0,2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r>
                    <w:t>Ниско</w:t>
                  </w:r>
                  <w:r>
                    <w:br/>
                    <w:t>до 2 етажа с височина до 7,50 м</w:t>
                  </w:r>
                </w:p>
              </w:tc>
            </w:tr>
            <w:tr w:rsidR="00533046">
              <w:tc>
                <w:tcPr>
                  <w:tcW w:w="240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r>
                    <w:t>Контролни горски пунктове</w:t>
                  </w:r>
                </w:p>
              </w:tc>
              <w:tc>
                <w:tcPr>
                  <w:tcW w:w="207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r>
                    <w:t>10 % от площта на имота, но не повече от 1 дка</w:t>
                  </w:r>
                </w:p>
              </w:tc>
              <w:tc>
                <w:tcPr>
                  <w:tcW w:w="16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r>
                    <w:t>Пл – до 10 %</w:t>
                  </w:r>
                  <w:r>
                    <w:br/>
                    <w:t>Кинт – до 0,1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r>
                    <w:t>Ниско</w:t>
                  </w:r>
                  <w:r>
                    <w:br/>
                    <w:t>на 1 етаж с височина до 3,50 м</w:t>
                  </w:r>
                </w:p>
              </w:tc>
            </w:tr>
            <w:tr w:rsidR="00533046">
              <w:tc>
                <w:tcPr>
                  <w:tcW w:w="240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r>
                    <w:t> </w:t>
                  </w:r>
                </w:p>
              </w:tc>
              <w:tc>
                <w:tcPr>
                  <w:tcW w:w="207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r>
                    <w:t> </w:t>
                  </w:r>
                </w:p>
              </w:tc>
              <w:tc>
                <w:tcPr>
                  <w:tcW w:w="16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r>
                    <w:t> 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r>
                    <w:t> </w:t>
                  </w:r>
                </w:p>
              </w:tc>
            </w:tr>
            <w:tr w:rsidR="00533046">
              <w:tc>
                <w:tcPr>
                  <w:tcW w:w="240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r>
                    <w:t xml:space="preserve">Зооветеринарни съоръжения </w:t>
                  </w:r>
                </w:p>
              </w:tc>
              <w:tc>
                <w:tcPr>
                  <w:tcW w:w="207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r>
                    <w:t>До 5 дка за площни и без ограничение за линейни обекти</w:t>
                  </w:r>
                </w:p>
              </w:tc>
              <w:tc>
                <w:tcPr>
                  <w:tcW w:w="16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r>
                    <w:t>Пл – до 40 %</w:t>
                  </w:r>
                  <w:r>
                    <w:br/>
                    <w:t>Кинт – 0,4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r>
                    <w:t>Ниско</w:t>
                  </w:r>
                  <w:r>
                    <w:br/>
                    <w:t>на 1 етаж **</w:t>
                  </w:r>
                </w:p>
              </w:tc>
            </w:tr>
            <w:tr w:rsidR="00533046">
              <w:tc>
                <w:tcPr>
                  <w:tcW w:w="240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r>
                    <w:t>Биотехнически съоръжения</w:t>
                  </w:r>
                </w:p>
              </w:tc>
              <w:tc>
                <w:tcPr>
                  <w:tcW w:w="207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r>
                    <w:t>До 5 дка</w:t>
                  </w:r>
                </w:p>
              </w:tc>
              <w:tc>
                <w:tcPr>
                  <w:tcW w:w="16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r>
                    <w:t>Пл – до 5 %</w:t>
                  </w:r>
                  <w:r>
                    <w:br/>
                    <w:t>Кинт – 0,1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r>
                    <w:t>Ниско</w:t>
                  </w:r>
                  <w:r>
                    <w:br/>
                    <w:t>на 1 етаж **</w:t>
                  </w:r>
                </w:p>
              </w:tc>
            </w:tr>
          </w:tbl>
          <w:p w:rsidR="00533046" w:rsidRDefault="007258A8">
            <w:r>
              <w:br/>
            </w:r>
          </w:p>
        </w:tc>
      </w:tr>
    </w:tbl>
    <w:p w:rsidR="00533046" w:rsidRDefault="00533046"/>
    <w:tbl>
      <w:tblPr>
        <w:tblW w:w="7954" w:type="dxa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4"/>
      </w:tblGrid>
      <w:tr w:rsidR="00533046">
        <w:trPr>
          <w:tblCellSpacing w:w="0" w:type="dxa"/>
        </w:trPr>
        <w:tc>
          <w:tcPr>
            <w:tcW w:w="795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533046" w:rsidRDefault="007258A8">
            <w:r>
              <w:rPr>
                <w:i/>
                <w:iCs/>
              </w:rPr>
              <w:t>Забележки:</w:t>
            </w:r>
            <w:r>
              <w:rPr>
                <w:i/>
                <w:iCs/>
              </w:rPr>
              <w:br/>
            </w:r>
            <w:r>
              <w:rPr>
                <w:i/>
                <w:iCs/>
              </w:rPr>
              <w:br/>
            </w:r>
            <w:r>
              <w:lastRenderedPageBreak/>
              <w:t>* В застроената площ на ферми за отглеждане на дивеч, риболюпилни и рибарници</w:t>
            </w:r>
            <w:r>
              <w:br/>
              <w:t>не се включва площта на откритите дворове за отглеждане на дивеч, съответно</w:t>
            </w:r>
            <w:r>
              <w:br/>
              <w:t>площта на водните басейни.</w:t>
            </w:r>
            <w:r>
              <w:br/>
            </w:r>
            <w:r>
              <w:br/>
              <w:t>** Височината се определя съобразно функционално-технологичните изисквания</w:t>
            </w:r>
            <w:r>
              <w:t>.</w:t>
            </w:r>
            <w:r>
              <w:br/>
            </w:r>
          </w:p>
        </w:tc>
      </w:tr>
    </w:tbl>
    <w:p w:rsidR="00533046" w:rsidRDefault="00533046"/>
    <w:tbl>
      <w:tblPr>
        <w:tblW w:w="7954" w:type="dxa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80"/>
        <w:gridCol w:w="1374"/>
      </w:tblGrid>
      <w:tr w:rsidR="00533046">
        <w:trPr>
          <w:gridAfter w:val="1"/>
          <w:wAfter w:w="1661" w:type="dxa"/>
          <w:tblCellSpacing w:w="0" w:type="dxa"/>
        </w:trPr>
        <w:tc>
          <w:tcPr>
            <w:tcW w:w="795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533046" w:rsidRDefault="007258A8">
            <w:r>
              <w:rPr>
                <w:b/>
                <w:bCs/>
              </w:rPr>
              <w:t xml:space="preserve">Приложение № 2 </w:t>
            </w:r>
            <w:r>
              <w:rPr>
                <w:b/>
                <w:bCs/>
              </w:rPr>
              <w:br/>
            </w:r>
            <w:r>
              <w:t>към чл. 19, ал. 1</w:t>
            </w:r>
            <w:r>
              <w:br/>
            </w:r>
            <w:r>
              <w:br/>
            </w:r>
          </w:p>
          <w:p w:rsidR="00533046" w:rsidRDefault="007258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Нормативи за основните геометрични елементи на горските пътища</w:t>
            </w:r>
          </w:p>
        </w:tc>
      </w:tr>
      <w:tr w:rsidR="00533046">
        <w:trPr>
          <w:tblCellSpacing w:w="0" w:type="dxa"/>
        </w:trPr>
        <w:tc>
          <w:tcPr>
            <w:tcW w:w="9615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533046" w:rsidRDefault="00533046">
            <w:pPr>
              <w:rPr>
                <w:b/>
                <w:bCs/>
              </w:rPr>
            </w:pPr>
          </w:p>
          <w:tbl>
            <w:tblPr>
              <w:tblW w:w="958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29"/>
              <w:gridCol w:w="870"/>
              <w:gridCol w:w="1041"/>
              <w:gridCol w:w="1225"/>
              <w:gridCol w:w="488"/>
              <w:gridCol w:w="488"/>
              <w:gridCol w:w="488"/>
              <w:gridCol w:w="458"/>
              <w:gridCol w:w="484"/>
              <w:gridCol w:w="484"/>
              <w:gridCol w:w="458"/>
              <w:gridCol w:w="484"/>
              <w:gridCol w:w="488"/>
            </w:tblGrid>
            <w:tr w:rsidR="00533046">
              <w:tc>
                <w:tcPr>
                  <w:tcW w:w="21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Степен на пътя</w:t>
                  </w:r>
                </w:p>
              </w:tc>
              <w:tc>
                <w:tcPr>
                  <w:tcW w:w="3136" w:type="dxa"/>
                  <w:gridSpan w:val="3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Първа</w:t>
                  </w:r>
                </w:p>
              </w:tc>
              <w:tc>
                <w:tcPr>
                  <w:tcW w:w="1464" w:type="dxa"/>
                  <w:gridSpan w:val="3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Втора</w:t>
                  </w:r>
                </w:p>
              </w:tc>
              <w:tc>
                <w:tcPr>
                  <w:tcW w:w="1426" w:type="dxa"/>
                  <w:gridSpan w:val="3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Трета</w:t>
                  </w:r>
                </w:p>
              </w:tc>
              <w:tc>
                <w:tcPr>
                  <w:tcW w:w="1430" w:type="dxa"/>
                  <w:gridSpan w:val="3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Четвърта</w:t>
                  </w:r>
                </w:p>
              </w:tc>
            </w:tr>
            <w:tr w:rsidR="00533046">
              <w:tc>
                <w:tcPr>
                  <w:tcW w:w="212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r>
                    <w:t>Характер на терена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равнинен</w:t>
                  </w:r>
                  <w:r>
                    <w:br/>
                    <w:t>(Р)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хълмист</w:t>
                  </w:r>
                  <w:r>
                    <w:br/>
                    <w:t>(Х)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планински</w:t>
                  </w:r>
                  <w:r>
                    <w:br/>
                    <w:t>(П)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Р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П</w:t>
                  </w:r>
                </w:p>
              </w:tc>
              <w:tc>
                <w:tcPr>
                  <w:tcW w:w="45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Р</w:t>
                  </w:r>
                </w:p>
              </w:tc>
              <w:tc>
                <w:tcPr>
                  <w:tcW w:w="48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48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П</w:t>
                  </w:r>
                </w:p>
              </w:tc>
              <w:tc>
                <w:tcPr>
                  <w:tcW w:w="45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Р</w:t>
                  </w:r>
                </w:p>
              </w:tc>
              <w:tc>
                <w:tcPr>
                  <w:tcW w:w="48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П</w:t>
                  </w:r>
                </w:p>
              </w:tc>
            </w:tr>
            <w:tr w:rsidR="00533046">
              <w:tc>
                <w:tcPr>
                  <w:tcW w:w="212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r>
                    <w:t>Проектна скорост, км/ч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60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40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25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40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30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20</w:t>
                  </w:r>
                </w:p>
              </w:tc>
              <w:tc>
                <w:tcPr>
                  <w:tcW w:w="45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40</w:t>
                  </w:r>
                </w:p>
              </w:tc>
              <w:tc>
                <w:tcPr>
                  <w:tcW w:w="48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30</w:t>
                  </w:r>
                </w:p>
              </w:tc>
              <w:tc>
                <w:tcPr>
                  <w:tcW w:w="48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20</w:t>
                  </w:r>
                </w:p>
              </w:tc>
              <w:tc>
                <w:tcPr>
                  <w:tcW w:w="45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30</w:t>
                  </w:r>
                </w:p>
              </w:tc>
              <w:tc>
                <w:tcPr>
                  <w:tcW w:w="48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25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10</w:t>
                  </w:r>
                </w:p>
              </w:tc>
            </w:tr>
            <w:tr w:rsidR="00533046">
              <w:tc>
                <w:tcPr>
                  <w:tcW w:w="212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r>
                    <w:t>Брой на пътните ленти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45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48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48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45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48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1</w:t>
                  </w:r>
                </w:p>
              </w:tc>
            </w:tr>
            <w:tr w:rsidR="00533046">
              <w:tc>
                <w:tcPr>
                  <w:tcW w:w="212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r>
                    <w:t>Широчина на: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45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48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48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45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48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 </w:t>
                  </w:r>
                </w:p>
              </w:tc>
            </w:tr>
            <w:tr w:rsidR="00533046">
              <w:tc>
                <w:tcPr>
                  <w:tcW w:w="212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r>
                    <w:t>– пътните ленти, м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3,0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3,0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3,0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3,5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3,5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3,5</w:t>
                  </w:r>
                </w:p>
              </w:tc>
              <w:tc>
                <w:tcPr>
                  <w:tcW w:w="45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48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48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45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48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3</w:t>
                  </w:r>
                </w:p>
              </w:tc>
            </w:tr>
            <w:tr w:rsidR="00533046">
              <w:tc>
                <w:tcPr>
                  <w:tcW w:w="212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r>
                    <w:t>– водещи ивици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2 x 0,25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2 x 0,25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2 x 0,25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45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48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48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45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48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 </w:t>
                  </w:r>
                </w:p>
              </w:tc>
            </w:tr>
            <w:tr w:rsidR="00533046">
              <w:tc>
                <w:tcPr>
                  <w:tcW w:w="212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r>
                    <w:t>– платно за движение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6,50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6,50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6,50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45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48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48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45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48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-</w:t>
                  </w:r>
                </w:p>
              </w:tc>
            </w:tr>
            <w:tr w:rsidR="00533046">
              <w:tc>
                <w:tcPr>
                  <w:tcW w:w="212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r>
                    <w:t>– пътното платно, м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9,00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9,00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9,00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45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48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48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45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48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4</w:t>
                  </w:r>
                </w:p>
              </w:tc>
            </w:tr>
            <w:tr w:rsidR="00533046">
              <w:tc>
                <w:tcPr>
                  <w:tcW w:w="212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r>
                    <w:t>– банкетите, м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1,25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1,25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1,25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0,75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0,75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0,75</w:t>
                  </w:r>
                </w:p>
              </w:tc>
              <w:tc>
                <w:tcPr>
                  <w:tcW w:w="45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0,5</w:t>
                  </w:r>
                </w:p>
              </w:tc>
              <w:tc>
                <w:tcPr>
                  <w:tcW w:w="48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0,5</w:t>
                  </w:r>
                </w:p>
              </w:tc>
              <w:tc>
                <w:tcPr>
                  <w:tcW w:w="48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0,5</w:t>
                  </w:r>
                </w:p>
              </w:tc>
              <w:tc>
                <w:tcPr>
                  <w:tcW w:w="45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0,5</w:t>
                  </w:r>
                </w:p>
              </w:tc>
              <w:tc>
                <w:tcPr>
                  <w:tcW w:w="48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0,5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0,5</w:t>
                  </w:r>
                </w:p>
              </w:tc>
            </w:tr>
            <w:tr w:rsidR="00533046">
              <w:tc>
                <w:tcPr>
                  <w:tcW w:w="212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r>
                    <w:t>– мостовете между парапетите, м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10,50 (9,90)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10,50 (9,90)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10,50 (9,90)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45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48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48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45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48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5</w:t>
                  </w:r>
                </w:p>
              </w:tc>
            </w:tr>
            <w:tr w:rsidR="00533046">
              <w:tc>
                <w:tcPr>
                  <w:tcW w:w="212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r>
                    <w:t>– мостовете между бордюрите, м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7,00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7,00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7,00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45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48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48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45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48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4</w:t>
                  </w:r>
                </w:p>
              </w:tc>
            </w:tr>
            <w:tr w:rsidR="00533046">
              <w:tc>
                <w:tcPr>
                  <w:tcW w:w="212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r>
                    <w:t>Разстояние на видимост, м: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45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48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48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45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48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 </w:t>
                  </w:r>
                </w:p>
              </w:tc>
            </w:tr>
            <w:tr w:rsidR="00533046">
              <w:tc>
                <w:tcPr>
                  <w:tcW w:w="212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r>
                    <w:t>– при спиране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70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35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25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35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25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20</w:t>
                  </w:r>
                </w:p>
              </w:tc>
              <w:tc>
                <w:tcPr>
                  <w:tcW w:w="45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35</w:t>
                  </w:r>
                </w:p>
              </w:tc>
              <w:tc>
                <w:tcPr>
                  <w:tcW w:w="48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25</w:t>
                  </w:r>
                </w:p>
              </w:tc>
              <w:tc>
                <w:tcPr>
                  <w:tcW w:w="48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20</w:t>
                  </w:r>
                </w:p>
              </w:tc>
              <w:tc>
                <w:tcPr>
                  <w:tcW w:w="45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25</w:t>
                  </w:r>
                </w:p>
              </w:tc>
              <w:tc>
                <w:tcPr>
                  <w:tcW w:w="48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20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15</w:t>
                  </w:r>
                </w:p>
              </w:tc>
            </w:tr>
            <w:tr w:rsidR="00533046">
              <w:tc>
                <w:tcPr>
                  <w:tcW w:w="212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r>
                    <w:t xml:space="preserve">– при </w:t>
                  </w:r>
                  <w:r>
                    <w:lastRenderedPageBreak/>
                    <w:t>изпреварване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lastRenderedPageBreak/>
                    <w:t>475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45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48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48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45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48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-</w:t>
                  </w:r>
                </w:p>
              </w:tc>
            </w:tr>
            <w:tr w:rsidR="00533046">
              <w:tc>
                <w:tcPr>
                  <w:tcW w:w="212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r>
                    <w:t>Максимален надлъжен наклон, %: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ind w:left="170" w:hanging="170"/>
                    <w:jc w:val="center"/>
                  </w:pPr>
                  <w:r>
                    <w:t>7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9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9</w:t>
                  </w:r>
                </w:p>
              </w:tc>
              <w:tc>
                <w:tcPr>
                  <w:tcW w:w="45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48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48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9</w:t>
                  </w:r>
                </w:p>
              </w:tc>
              <w:tc>
                <w:tcPr>
                  <w:tcW w:w="45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48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9</w:t>
                  </w:r>
                </w:p>
              </w:tc>
            </w:tr>
            <w:tr w:rsidR="00533046">
              <w:tc>
                <w:tcPr>
                  <w:tcW w:w="212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r>
                    <w:t>– в серпентини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-3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(3,5) 3,5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(4)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45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48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48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45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48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7</w:t>
                  </w:r>
                </w:p>
              </w:tc>
            </w:tr>
            <w:tr w:rsidR="00533046">
              <w:tc>
                <w:tcPr>
                  <w:tcW w:w="212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r>
                    <w:t>Максимален напречен наклон, %: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45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48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48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45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48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 </w:t>
                  </w:r>
                </w:p>
              </w:tc>
            </w:tr>
            <w:tr w:rsidR="00533046">
              <w:tc>
                <w:tcPr>
                  <w:tcW w:w="212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r>
                    <w:t>– в права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2,5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2,5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2,5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2,5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2,5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2,5</w:t>
                  </w:r>
                </w:p>
              </w:tc>
              <w:tc>
                <w:tcPr>
                  <w:tcW w:w="45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2,5</w:t>
                  </w:r>
                </w:p>
              </w:tc>
              <w:tc>
                <w:tcPr>
                  <w:tcW w:w="48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2,5</w:t>
                  </w:r>
                </w:p>
              </w:tc>
              <w:tc>
                <w:tcPr>
                  <w:tcW w:w="48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2,5</w:t>
                  </w:r>
                </w:p>
              </w:tc>
              <w:tc>
                <w:tcPr>
                  <w:tcW w:w="45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2,5</w:t>
                  </w:r>
                </w:p>
              </w:tc>
              <w:tc>
                <w:tcPr>
                  <w:tcW w:w="48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2,5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2,5</w:t>
                  </w:r>
                </w:p>
              </w:tc>
            </w:tr>
            <w:tr w:rsidR="00533046">
              <w:tc>
                <w:tcPr>
                  <w:tcW w:w="212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r>
                    <w:t>– в крива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45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48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48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45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48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6</w:t>
                  </w:r>
                </w:p>
              </w:tc>
            </w:tr>
            <w:tr w:rsidR="00533046">
              <w:tc>
                <w:tcPr>
                  <w:tcW w:w="212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r>
                    <w:t>Минимален радиус на: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45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48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48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45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48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 </w:t>
                  </w:r>
                </w:p>
              </w:tc>
            </w:tr>
            <w:tr w:rsidR="00533046">
              <w:tc>
                <w:tcPr>
                  <w:tcW w:w="212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r>
                    <w:t>– хоризонтални криви, м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120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45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25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60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30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20</w:t>
                  </w:r>
                </w:p>
              </w:tc>
              <w:tc>
                <w:tcPr>
                  <w:tcW w:w="45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45</w:t>
                  </w:r>
                </w:p>
              </w:tc>
              <w:tc>
                <w:tcPr>
                  <w:tcW w:w="48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30</w:t>
                  </w:r>
                </w:p>
              </w:tc>
              <w:tc>
                <w:tcPr>
                  <w:tcW w:w="48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20</w:t>
                  </w:r>
                </w:p>
              </w:tc>
              <w:tc>
                <w:tcPr>
                  <w:tcW w:w="45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45</w:t>
                  </w:r>
                </w:p>
              </w:tc>
              <w:tc>
                <w:tcPr>
                  <w:tcW w:w="48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30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15</w:t>
                  </w:r>
                </w:p>
              </w:tc>
            </w:tr>
            <w:tr w:rsidR="00533046">
              <w:tc>
                <w:tcPr>
                  <w:tcW w:w="212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r>
                    <w:t>– изпъкнали вертикални криви, м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2400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1000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1000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1000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1000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1000</w:t>
                  </w:r>
                </w:p>
              </w:tc>
              <w:tc>
                <w:tcPr>
                  <w:tcW w:w="45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1000</w:t>
                  </w:r>
                </w:p>
              </w:tc>
              <w:tc>
                <w:tcPr>
                  <w:tcW w:w="48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1000</w:t>
                  </w:r>
                </w:p>
              </w:tc>
              <w:tc>
                <w:tcPr>
                  <w:tcW w:w="48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1000</w:t>
                  </w:r>
                </w:p>
              </w:tc>
              <w:tc>
                <w:tcPr>
                  <w:tcW w:w="45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1000</w:t>
                  </w:r>
                </w:p>
              </w:tc>
              <w:tc>
                <w:tcPr>
                  <w:tcW w:w="48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1000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1000</w:t>
                  </w:r>
                </w:p>
              </w:tc>
            </w:tr>
            <w:tr w:rsidR="00533046">
              <w:tc>
                <w:tcPr>
                  <w:tcW w:w="212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r>
                    <w:t>– вдлъбнати вертикални криви, м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750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500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500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500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500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500</w:t>
                  </w:r>
                </w:p>
              </w:tc>
              <w:tc>
                <w:tcPr>
                  <w:tcW w:w="45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500</w:t>
                  </w:r>
                </w:p>
              </w:tc>
              <w:tc>
                <w:tcPr>
                  <w:tcW w:w="48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500</w:t>
                  </w:r>
                </w:p>
              </w:tc>
              <w:tc>
                <w:tcPr>
                  <w:tcW w:w="48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500</w:t>
                  </w:r>
                </w:p>
              </w:tc>
              <w:tc>
                <w:tcPr>
                  <w:tcW w:w="45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500</w:t>
                  </w:r>
                </w:p>
              </w:tc>
              <w:tc>
                <w:tcPr>
                  <w:tcW w:w="48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500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500</w:t>
                  </w:r>
                </w:p>
              </w:tc>
            </w:tr>
            <w:tr w:rsidR="00533046">
              <w:tc>
                <w:tcPr>
                  <w:tcW w:w="212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r>
                    <w:t>– серпентини, м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30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20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20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15</w:t>
                  </w:r>
                </w:p>
              </w:tc>
              <w:tc>
                <w:tcPr>
                  <w:tcW w:w="45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48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20</w:t>
                  </w:r>
                </w:p>
              </w:tc>
              <w:tc>
                <w:tcPr>
                  <w:tcW w:w="48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15</w:t>
                  </w:r>
                </w:p>
              </w:tc>
              <w:tc>
                <w:tcPr>
                  <w:tcW w:w="45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48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20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15</w:t>
                  </w:r>
                </w:p>
              </w:tc>
            </w:tr>
          </w:tbl>
          <w:p w:rsidR="00533046" w:rsidRDefault="007258A8">
            <w:r>
              <w:br/>
            </w:r>
          </w:p>
        </w:tc>
      </w:tr>
    </w:tbl>
    <w:p w:rsidR="00533046" w:rsidRDefault="00533046"/>
    <w:tbl>
      <w:tblPr>
        <w:tblW w:w="7954" w:type="dxa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4"/>
      </w:tblGrid>
      <w:tr w:rsidR="00533046">
        <w:trPr>
          <w:tblCellSpacing w:w="0" w:type="dxa"/>
        </w:trPr>
        <w:tc>
          <w:tcPr>
            <w:tcW w:w="795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533046" w:rsidRDefault="007258A8">
            <w:r>
              <w:rPr>
                <w:b/>
                <w:bCs/>
              </w:rPr>
              <w:t xml:space="preserve">Приложение № 3 </w:t>
            </w:r>
            <w:r>
              <w:rPr>
                <w:b/>
                <w:bCs/>
              </w:rPr>
              <w:br/>
            </w:r>
            <w:r>
              <w:t>към чл. 24, ал. 1</w:t>
            </w:r>
            <w:r>
              <w:br/>
            </w:r>
            <w:r>
              <w:br/>
            </w:r>
          </w:p>
          <w:p w:rsidR="00533046" w:rsidRDefault="007258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Нормативи за основните геометрични елементи на горските тракторни пътища</w:t>
            </w:r>
          </w:p>
        </w:tc>
      </w:tr>
      <w:tr w:rsidR="00533046">
        <w:trPr>
          <w:tblCellSpacing w:w="0" w:type="dxa"/>
        </w:trPr>
        <w:tc>
          <w:tcPr>
            <w:tcW w:w="795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533046" w:rsidRDefault="00533046">
            <w:pPr>
              <w:rPr>
                <w:b/>
                <w:bCs/>
              </w:rPr>
            </w:pPr>
          </w:p>
          <w:tbl>
            <w:tblPr>
              <w:tblW w:w="792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48"/>
              <w:gridCol w:w="1024"/>
              <w:gridCol w:w="940"/>
              <w:gridCol w:w="1024"/>
              <w:gridCol w:w="988"/>
            </w:tblGrid>
            <w:tr w:rsidR="00533046">
              <w:tc>
                <w:tcPr>
                  <w:tcW w:w="3948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Вид на тракторите</w:t>
                  </w:r>
                </w:p>
                <w:p w:rsidR="00533046" w:rsidRDefault="007258A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964" w:type="dxa"/>
                  <w:gridSpan w:val="2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Приспособени</w:t>
                  </w:r>
                </w:p>
              </w:tc>
              <w:tc>
                <w:tcPr>
                  <w:tcW w:w="2012" w:type="dxa"/>
                  <w:gridSpan w:val="2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Специализирани</w:t>
                  </w:r>
                </w:p>
              </w:tc>
            </w:tr>
            <w:tr w:rsidR="00533046">
              <w:tc>
                <w:tcPr>
                  <w:tcW w:w="39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533046"/>
              </w:tc>
              <w:tc>
                <w:tcPr>
                  <w:tcW w:w="1964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селскостопански</w:t>
                  </w:r>
                </w:p>
              </w:tc>
              <w:tc>
                <w:tcPr>
                  <w:tcW w:w="2012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дърводобивни</w:t>
                  </w:r>
                </w:p>
              </w:tc>
            </w:tr>
            <w:tr w:rsidR="00533046">
              <w:tc>
                <w:tcPr>
                  <w:tcW w:w="394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Група на тракторния път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първа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втора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първа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втора</w:t>
                  </w:r>
                </w:p>
              </w:tc>
            </w:tr>
            <w:tr w:rsidR="00533046">
              <w:tc>
                <w:tcPr>
                  <w:tcW w:w="3948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r>
                    <w:t>Широчина на пътя, м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4</w:t>
                  </w:r>
                </w:p>
              </w:tc>
            </w:tr>
            <w:tr w:rsidR="00533046">
              <w:tc>
                <w:tcPr>
                  <w:tcW w:w="3948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r>
                    <w:t>Максимални надлъжни наклони по посока на извозване на товарите, %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25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30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30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35</w:t>
                  </w:r>
                </w:p>
              </w:tc>
            </w:tr>
            <w:tr w:rsidR="00533046">
              <w:tc>
                <w:tcPr>
                  <w:tcW w:w="3948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r>
                    <w:t>– за къси отсечки до 100 м от пътя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30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35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35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40</w:t>
                  </w:r>
                </w:p>
              </w:tc>
            </w:tr>
            <w:tr w:rsidR="00533046">
              <w:tc>
                <w:tcPr>
                  <w:tcW w:w="3948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r>
                    <w:t>Максимални надлъжни наклони по посока,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 </w:t>
                  </w:r>
                </w:p>
              </w:tc>
            </w:tr>
            <w:tr w:rsidR="00533046">
              <w:tc>
                <w:tcPr>
                  <w:tcW w:w="3948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r>
                    <w:t>обратна на посоката на извозване на товарите, %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15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20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15</w:t>
                  </w:r>
                </w:p>
              </w:tc>
            </w:tr>
            <w:tr w:rsidR="00533046">
              <w:tc>
                <w:tcPr>
                  <w:tcW w:w="3948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r>
                    <w:t>– за къси отсечки до 100 м от пътя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20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15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25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20</w:t>
                  </w:r>
                </w:p>
              </w:tc>
            </w:tr>
            <w:tr w:rsidR="00533046">
              <w:tc>
                <w:tcPr>
                  <w:tcW w:w="3948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r>
                    <w:lastRenderedPageBreak/>
                    <w:t>Максимален напречен наклон, %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15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15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20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15</w:t>
                  </w:r>
                </w:p>
              </w:tc>
            </w:tr>
            <w:tr w:rsidR="00533046">
              <w:tc>
                <w:tcPr>
                  <w:tcW w:w="3948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r>
                    <w:t>Препоръчителен напречен наклон, %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-</w:t>
                  </w:r>
                </w:p>
              </w:tc>
            </w:tr>
            <w:tr w:rsidR="00533046">
              <w:tc>
                <w:tcPr>
                  <w:tcW w:w="3948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r>
                    <w:t>Минимален радиус на хоризонталните криви, м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20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15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15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15</w:t>
                  </w:r>
                </w:p>
              </w:tc>
            </w:tr>
            <w:tr w:rsidR="00533046">
              <w:tc>
                <w:tcPr>
                  <w:tcW w:w="3948" w:type="dxa"/>
                  <w:tcBorders>
                    <w:top w:val="nil"/>
                    <w:left w:val="nil"/>
                    <w:bottom w:val="single" w:sz="8" w:space="0" w:color="000000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r>
                    <w:t>Уширение на пътя в хоризонталните криви, м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single" w:sz="8" w:space="0" w:color="000000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1,5 – 2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8" w:space="0" w:color="000000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1,5 – 2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single" w:sz="8" w:space="0" w:color="000000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1 – 2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8" w:space="0" w:color="000000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1,5 – 2</w:t>
                  </w:r>
                </w:p>
              </w:tc>
            </w:tr>
          </w:tbl>
          <w:p w:rsidR="00533046" w:rsidRDefault="007258A8">
            <w:pPr>
              <w:spacing w:after="240"/>
            </w:pPr>
            <w:r>
              <w:t> </w:t>
            </w:r>
          </w:p>
        </w:tc>
      </w:tr>
      <w:tr w:rsidR="00533046">
        <w:trPr>
          <w:tblCellSpacing w:w="0" w:type="dxa"/>
        </w:trPr>
        <w:tc>
          <w:tcPr>
            <w:tcW w:w="795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533046" w:rsidRDefault="007258A8">
            <w:r>
              <w:rPr>
                <w:b/>
                <w:bCs/>
              </w:rPr>
              <w:lastRenderedPageBreak/>
              <w:t xml:space="preserve">Приложение № 4 </w:t>
            </w:r>
            <w:r>
              <w:rPr>
                <w:b/>
                <w:bCs/>
              </w:rPr>
              <w:br/>
            </w:r>
            <w:r>
              <w:t>към чл. 26, ал. 1</w:t>
            </w:r>
            <w:r>
              <w:br/>
            </w:r>
            <w:r>
              <w:br/>
            </w:r>
          </w:p>
          <w:p w:rsidR="00533046" w:rsidRDefault="007258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Нормативи за основните геометрични параметри на коларските горски пътища</w:t>
            </w:r>
          </w:p>
        </w:tc>
      </w:tr>
      <w:tr w:rsidR="00533046">
        <w:trPr>
          <w:tblCellSpacing w:w="0" w:type="dxa"/>
        </w:trPr>
        <w:tc>
          <w:tcPr>
            <w:tcW w:w="795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533046" w:rsidRDefault="00533046">
            <w:pPr>
              <w:rPr>
                <w:b/>
                <w:bCs/>
              </w:rPr>
            </w:pPr>
          </w:p>
          <w:tbl>
            <w:tblPr>
              <w:tblW w:w="792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576"/>
              <w:gridCol w:w="1722"/>
              <w:gridCol w:w="1626"/>
            </w:tblGrid>
            <w:tr w:rsidR="00533046">
              <w:tc>
                <w:tcPr>
                  <w:tcW w:w="45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Група на коларския път</w:t>
                  </w:r>
                </w:p>
              </w:tc>
              <w:tc>
                <w:tcPr>
                  <w:tcW w:w="172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Първа група</w:t>
                  </w:r>
                </w:p>
              </w:tc>
              <w:tc>
                <w:tcPr>
                  <w:tcW w:w="1626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Втора група</w:t>
                  </w:r>
                </w:p>
              </w:tc>
            </w:tr>
            <w:tr w:rsidR="00533046">
              <w:tc>
                <w:tcPr>
                  <w:tcW w:w="4576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r>
                    <w:t>Надлъжни наклони по посока на извозване на товарите, %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20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30</w:t>
                  </w:r>
                </w:p>
              </w:tc>
            </w:tr>
            <w:tr w:rsidR="00533046">
              <w:tc>
                <w:tcPr>
                  <w:tcW w:w="4576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r>
                    <w:t>– за къси отсечки до 50 м от пътя, %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25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35</w:t>
                  </w:r>
                </w:p>
              </w:tc>
            </w:tr>
            <w:tr w:rsidR="00533046">
              <w:tc>
                <w:tcPr>
                  <w:tcW w:w="4576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r>
                    <w:t>Надлъжни наклони по посока, обратна на посоката на извозване на товарите, %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20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15</w:t>
                  </w:r>
                </w:p>
              </w:tc>
            </w:tr>
            <w:tr w:rsidR="00533046">
              <w:tc>
                <w:tcPr>
                  <w:tcW w:w="4576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r>
                    <w:t>– за къси отсечки до 50 м от пътя, %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25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20</w:t>
                  </w:r>
                </w:p>
              </w:tc>
            </w:tr>
            <w:tr w:rsidR="00533046">
              <w:tc>
                <w:tcPr>
                  <w:tcW w:w="4576" w:type="dxa"/>
                  <w:tcBorders>
                    <w:top w:val="nil"/>
                    <w:left w:val="nil"/>
                    <w:bottom w:val="single" w:sz="8" w:space="0" w:color="000000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r>
                    <w:t>Широчина на пътя, м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000000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2,5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8" w:space="0" w:color="000000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3046" w:rsidRDefault="007258A8">
                  <w:pPr>
                    <w:jc w:val="center"/>
                  </w:pPr>
                  <w:r>
                    <w:t>2</w:t>
                  </w:r>
                </w:p>
              </w:tc>
            </w:tr>
          </w:tbl>
          <w:p w:rsidR="00533046" w:rsidRDefault="007258A8">
            <w:r>
              <w:br/>
            </w:r>
          </w:p>
        </w:tc>
      </w:tr>
    </w:tbl>
    <w:p w:rsidR="007258A8" w:rsidRDefault="007258A8"/>
    <w:sectPr w:rsidR="007258A8">
      <w:footerReference w:type="default" r:id="rId6"/>
      <w:pgSz w:w="12241" w:h="15841"/>
      <w:pgMar w:top="1134" w:right="1134" w:bottom="1134" w:left="1134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8A8" w:rsidRDefault="007258A8">
      <w:r>
        <w:separator/>
      </w:r>
    </w:p>
  </w:endnote>
  <w:endnote w:type="continuationSeparator" w:id="0">
    <w:p w:rsidR="007258A8" w:rsidRDefault="00725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4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"/>
      <w:gridCol w:w="9425"/>
    </w:tblGrid>
    <w:tr w:rsidR="00533046">
      <w:trPr>
        <w:trHeight w:val="375"/>
      </w:trPr>
      <w:tc>
        <w:tcPr>
          <w:tcW w:w="518" w:type="dxa"/>
          <w:tcBorders>
            <w:top w:val="single" w:sz="6" w:space="0" w:color="BDBDBD"/>
            <w:left w:val="nil"/>
            <w:bottom w:val="nil"/>
            <w:right w:val="nil"/>
            <w:tl2br w:val="nil"/>
            <w:tr2bl w:val="nil"/>
          </w:tcBorders>
          <w:vAlign w:val="center"/>
        </w:tcPr>
        <w:p w:rsidR="00533046" w:rsidRDefault="007258A8">
          <w:pPr>
            <w:spacing w:before="75"/>
            <w:ind w:right="150"/>
            <w:rPr>
              <w:rFonts w:ascii="Verdana" w:eastAsia="Verdana" w:hAnsi="Verdana" w:cs="Verdana"/>
              <w:color w:val="000000"/>
              <w:sz w:val="15"/>
              <w:szCs w:val="15"/>
            </w:rPr>
          </w:pPr>
          <w:r>
            <w:rPr>
              <w:noProof/>
            </w:rPr>
            <w:drawing>
              <wp:inline distT="0" distB="0" distL="0" distR="0">
                <wp:extent cx="290830" cy="207645"/>
                <wp:effectExtent l="0" t="0" r="0" b="0"/>
                <wp:docPr id="1" name="drawingObject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0" y="0"/>
                          <a:ext cx="290830" cy="2076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rPr>
              <w:rFonts w:ascii="Verdana" w:eastAsia="Verdana" w:hAnsi="Verdana" w:cs="Verdana"/>
              <w:color w:val="000000"/>
              <w:sz w:val="15"/>
              <w:szCs w:val="15"/>
            </w:rPr>
            <w:t xml:space="preserve"> </w:t>
          </w:r>
        </w:p>
      </w:tc>
      <w:tc>
        <w:tcPr>
          <w:tcW w:w="9425" w:type="dxa"/>
          <w:tcBorders>
            <w:top w:val="single" w:sz="6" w:space="0" w:color="BDBDBD"/>
            <w:left w:val="nil"/>
            <w:bottom w:val="nil"/>
            <w:right w:val="nil"/>
            <w:tl2br w:val="nil"/>
            <w:tr2bl w:val="nil"/>
          </w:tcBorders>
          <w:vAlign w:val="center"/>
        </w:tcPr>
        <w:p w:rsidR="00533046" w:rsidRDefault="007258A8">
          <w:pPr>
            <w:rPr>
              <w:rFonts w:ascii="Verdana" w:eastAsia="Verdana" w:hAnsi="Verdana" w:cs="Verdana"/>
              <w:color w:val="000000"/>
              <w:sz w:val="15"/>
              <w:szCs w:val="15"/>
            </w:rPr>
          </w:pPr>
          <w:r>
            <w:rPr>
              <w:rFonts w:ascii="Verdana" w:eastAsia="Verdana" w:hAnsi="Verdana" w:cs="Verdana"/>
              <w:color w:val="000000"/>
              <w:sz w:val="18"/>
              <w:szCs w:val="18"/>
            </w:rPr>
            <w:t>Информационна система АПИС</w:t>
          </w:r>
          <w:r>
            <w:rPr>
              <w:rFonts w:ascii="Verdana" w:eastAsia="Verdana" w:hAnsi="Verdana" w:cs="Verdana"/>
              <w:color w:val="000000"/>
              <w:sz w:val="18"/>
              <w:szCs w:val="18"/>
            </w:rPr>
            <w:br/>
          </w:r>
          <w:r>
            <w:rPr>
              <w:rFonts w:ascii="Verdana" w:eastAsia="Verdana" w:hAnsi="Verdana" w:cs="Verdana"/>
              <w:color w:val="000000"/>
              <w:sz w:val="15"/>
              <w:szCs w:val="15"/>
            </w:rPr>
            <w:t>https://web.apis.bg</w:t>
          </w:r>
        </w:p>
      </w:tc>
    </w:tr>
  </w:tbl>
  <w:p w:rsidR="00533046" w:rsidRDefault="007258A8">
    <w:pPr>
      <w:jc w:val="right"/>
    </w:pPr>
    <w:r>
      <w:rPr>
        <w:rFonts w:ascii="Arial" w:eastAsia="Arial" w:hAnsi="Arial" w:cs="Arial"/>
        <w:sz w:val="20"/>
        <w:szCs w:val="20"/>
      </w:rPr>
      <w:t xml:space="preserve">стр. </w:t>
    </w:r>
    <w:r>
      <w:rPr>
        <w:rFonts w:ascii="Arial" w:eastAsia="Arial" w:hAnsi="Arial" w:cs="Arial"/>
        <w:sz w:val="20"/>
        <w:szCs w:val="20"/>
      </w:rPr>
      <w:fldChar w:fldCharType="begin"/>
    </w:r>
    <w:r>
      <w:rPr>
        <w:rFonts w:ascii="Arial" w:eastAsia="Arial" w:hAnsi="Arial" w:cs="Arial"/>
        <w:sz w:val="20"/>
        <w:szCs w:val="20"/>
      </w:rPr>
      <w:instrText xml:space="preserve"> PAGE</w:instrText>
    </w:r>
    <w:r w:rsidR="00AF34B3">
      <w:rPr>
        <w:rFonts w:ascii="Arial" w:eastAsia="Arial" w:hAnsi="Arial" w:cs="Arial"/>
        <w:sz w:val="20"/>
        <w:szCs w:val="20"/>
      </w:rPr>
      <w:fldChar w:fldCharType="separate"/>
    </w:r>
    <w:r w:rsidR="00AF34B3">
      <w:rPr>
        <w:rFonts w:ascii="Arial" w:eastAsia="Arial" w:hAnsi="Arial" w:cs="Arial"/>
        <w:noProof/>
        <w:sz w:val="20"/>
        <w:szCs w:val="20"/>
      </w:rPr>
      <w:t>2</w:t>
    </w:r>
    <w:r>
      <w:rPr>
        <w:rFonts w:ascii="Arial" w:eastAsia="Arial" w:hAnsi="Arial" w:cs="Arial"/>
        <w:sz w:val="20"/>
        <w:szCs w:val="20"/>
      </w:rPr>
      <w:fldChar w:fldCharType="end"/>
    </w:r>
    <w:r>
      <w:rPr>
        <w:rFonts w:ascii="Arial" w:eastAsia="Arial" w:hAnsi="Arial" w:cs="Arial"/>
        <w:sz w:val="20"/>
        <w:szCs w:val="20"/>
      </w:rPr>
      <w:t xml:space="preserve"> от </w:t>
    </w:r>
    <w:r>
      <w:rPr>
        <w:rFonts w:ascii="Arial" w:eastAsia="Arial" w:hAnsi="Arial" w:cs="Arial"/>
        <w:sz w:val="20"/>
        <w:szCs w:val="20"/>
      </w:rPr>
      <w:fldChar w:fldCharType="begin"/>
    </w:r>
    <w:r>
      <w:rPr>
        <w:rFonts w:ascii="Arial" w:eastAsia="Arial" w:hAnsi="Arial" w:cs="Arial"/>
        <w:sz w:val="20"/>
        <w:szCs w:val="20"/>
      </w:rPr>
      <w:instrText xml:space="preserve"> NUMPAGES</w:instrText>
    </w:r>
    <w:r w:rsidR="00AF34B3">
      <w:rPr>
        <w:rFonts w:ascii="Arial" w:eastAsia="Arial" w:hAnsi="Arial" w:cs="Arial"/>
        <w:sz w:val="20"/>
        <w:szCs w:val="20"/>
      </w:rPr>
      <w:fldChar w:fldCharType="separate"/>
    </w:r>
    <w:r w:rsidR="00AF34B3">
      <w:rPr>
        <w:rFonts w:ascii="Arial" w:eastAsia="Arial" w:hAnsi="Arial" w:cs="Arial"/>
        <w:noProof/>
        <w:sz w:val="20"/>
        <w:szCs w:val="20"/>
      </w:rPr>
      <w:t>14</w:t>
    </w:r>
    <w:r>
      <w:rPr>
        <w:rFonts w:ascii="Arial" w:eastAsia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8A8" w:rsidRDefault="007258A8">
      <w:r>
        <w:separator/>
      </w:r>
    </w:p>
  </w:footnote>
  <w:footnote w:type="continuationSeparator" w:id="0">
    <w:p w:rsidR="007258A8" w:rsidRDefault="007258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046"/>
    <w:rsid w:val="00533046"/>
    <w:rsid w:val="007258A8"/>
    <w:rsid w:val="00A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1C0BB0-6B3C-4440-BA52-A428A0091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qFormat/>
    <w:pPr>
      <w:outlineLvl w:val="0"/>
    </w:pPr>
  </w:style>
  <w:style w:type="paragraph" w:styleId="Heading2">
    <w:name w:val="heading 2"/>
    <w:qFormat/>
    <w:pPr>
      <w:outlineLvl w:val="1"/>
    </w:pPr>
  </w:style>
  <w:style w:type="paragraph" w:styleId="Heading3">
    <w:name w:val="heading 3"/>
    <w:qFormat/>
    <w:pPr>
      <w:outlineLvl w:val="2"/>
    </w:pPr>
  </w:style>
  <w:style w:type="paragraph" w:styleId="Heading4">
    <w:name w:val="heading 4"/>
    <w:qFormat/>
    <w:pPr>
      <w:outlineLvl w:val="3"/>
    </w:pPr>
  </w:style>
  <w:style w:type="paragraph" w:styleId="Heading5">
    <w:name w:val="heading 5"/>
    <w:qFormat/>
    <w:pPr>
      <w:outlineLvl w:val="4"/>
    </w:pPr>
  </w:style>
  <w:style w:type="paragraph" w:styleId="Heading6">
    <w:name w:val="heading 6"/>
    <w:qFormat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qFormat/>
  </w:style>
  <w:style w:type="paragraph" w:customStyle="1" w:styleId="heading21">
    <w:name w:val="heading 21"/>
    <w:qFormat/>
  </w:style>
  <w:style w:type="paragraph" w:customStyle="1" w:styleId="heading31">
    <w:name w:val="heading 31"/>
    <w:qFormat/>
  </w:style>
  <w:style w:type="paragraph" w:customStyle="1" w:styleId="heading41">
    <w:name w:val="heading 41"/>
    <w:qFormat/>
  </w:style>
  <w:style w:type="paragraph" w:customStyle="1" w:styleId="heading51">
    <w:name w:val="heading 51"/>
    <w:qFormat/>
  </w:style>
  <w:style w:type="paragraph" w:customStyle="1" w:styleId="heading61">
    <w:name w:val="heading 6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5040</Words>
  <Characters>28729</Characters>
  <Application>Microsoft Office Word</Application>
  <DocSecurity>0</DocSecurity>
  <Lines>239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Sisa</dc:creator>
  <cp:lastModifiedBy>Sisa</cp:lastModifiedBy>
  <cp:revision>2</cp:revision>
  <dcterms:created xsi:type="dcterms:W3CDTF">2022-02-18T10:27:00Z</dcterms:created>
  <dcterms:modified xsi:type="dcterms:W3CDTF">2022-02-18T10:27:00Z</dcterms:modified>
  <cp:contentStatus>Created by the \'abHTML to RTF .Net\'bb 7.4.4.30</cp:contentStatus>
</cp:coreProperties>
</file>