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DIN-LIGHT" w:eastAsiaTheme="minorEastAsia" w:hAnsi="DIN-LIGHT"/>
          <w:color w:val="00323A"/>
          <w:sz w:val="2"/>
        </w:rPr>
        <w:id w:val="15278277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/>
          <w:color w:val="auto"/>
          <w:sz w:val="24"/>
        </w:rPr>
      </w:sdtEndPr>
      <w:sdtContent>
        <w:p w14:paraId="6E93A34C" w14:textId="7DECF859" w:rsidR="007B265B" w:rsidRPr="0086469B" w:rsidRDefault="00862C06" w:rsidP="0086469B">
          <w:pPr>
            <w:pStyle w:val="NoSpacing"/>
            <w:ind w:left="-1701"/>
            <w:rPr>
              <w:sz w:val="2"/>
            </w:rPr>
          </w:pPr>
          <w:r w:rsidRPr="007B265B">
            <w:rPr>
              <w:noProof/>
              <w:sz w:val="2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F43B0A" wp14:editId="6600027C">
                    <wp:simplePos x="0" y="0"/>
                    <wp:positionH relativeFrom="column">
                      <wp:posOffset>-332712</wp:posOffset>
                    </wp:positionH>
                    <wp:positionV relativeFrom="paragraph">
                      <wp:posOffset>7195930</wp:posOffset>
                    </wp:positionV>
                    <wp:extent cx="5960745" cy="1812898"/>
                    <wp:effectExtent l="0" t="0" r="0" b="0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60745" cy="18128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3900CE" w14:textId="6A33A902" w:rsidR="00862C06" w:rsidRDefault="007377D9" w:rsidP="007B265B">
                                <w:pPr>
                                  <w:spacing w:line="276" w:lineRule="auto"/>
                                  <w:jc w:val="right"/>
                                  <w:rPr>
                                    <w:rFonts w:cs="Times New Roman (Cuerpo en alfa"/>
                                    <w:b/>
                                    <w:color w:val="64C803"/>
                                    <w:sz w:val="48"/>
                                    <w:szCs w:val="48"/>
                                    <w:lang w:val="en-US"/>
                                  </w:rPr>
                                </w:pPr>
                                <w:r w:rsidRPr="007377D9">
                                  <w:rPr>
                                    <w:rFonts w:cs="Times New Roman (Cuerpo en alfa"/>
                                    <w:b/>
                                    <w:color w:val="64C803"/>
                                    <w:sz w:val="48"/>
                                    <w:szCs w:val="48"/>
                                    <w:lang w:val="en-US"/>
                                  </w:rPr>
                                  <w:t>“</w:t>
                                </w:r>
                                <w:r w:rsidRPr="007377D9">
                                  <w:rPr>
                                    <w:rFonts w:cs="Times New Roman (Cuerpo en alfa"/>
                                    <w:b/>
                                    <w:color w:val="64C803"/>
                                    <w:sz w:val="48"/>
                                    <w:szCs w:val="48"/>
                                    <w:lang w:val="bg-BG"/>
                                  </w:rPr>
                                  <w:t xml:space="preserve">Подпомагане на страните от Централна и Източна Европа при разработване на стратегии и планове за действие за </w:t>
                                </w:r>
                                <w:proofErr w:type="spellStart"/>
                                <w:r w:rsidRPr="007377D9">
                                  <w:rPr>
                                    <w:rFonts w:cs="Times New Roman (Cuerpo en alfa"/>
                                    <w:b/>
                                    <w:color w:val="64C803"/>
                                    <w:sz w:val="48"/>
                                    <w:szCs w:val="48"/>
                                    <w:lang w:val="bg-BG"/>
                                  </w:rPr>
                                  <w:t>биоикономика</w:t>
                                </w:r>
                                <w:proofErr w:type="spellEnd"/>
                                <w:r w:rsidRPr="007377D9">
                                  <w:rPr>
                                    <w:rFonts w:cs="Times New Roman (Cuerpo en alfa"/>
                                    <w:b/>
                                    <w:color w:val="64C803"/>
                                    <w:sz w:val="48"/>
                                    <w:szCs w:val="48"/>
                                    <w:lang w:val="en-US"/>
                                  </w:rPr>
                                  <w:t>”</w:t>
                                </w:r>
                              </w:p>
                              <w:p w14:paraId="3B8E1906" w14:textId="77777777" w:rsidR="007B265B" w:rsidRPr="00307B7C" w:rsidRDefault="007B265B" w:rsidP="007B265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5562C728" w14:textId="77777777" w:rsidR="007B265B" w:rsidRPr="00307B7C" w:rsidRDefault="007B265B" w:rsidP="007B265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B6B09">
                                  <w:rPr>
                                    <w:lang w:val="en-US"/>
                                  </w:rPr>
                                  <w:t xml:space="preserve">Empowering the Central and </w:t>
                                </w:r>
                                <w:r w:rsidRPr="006B6B09">
                                  <w:rPr>
                                    <w:lang w:val="en-US"/>
                                  </w:rPr>
                                  <w:br/>
                                  <w:t xml:space="preserve">Eastern European Countries to Develop </w:t>
                                </w:r>
                                <w:r w:rsidRPr="006B6B09">
                                  <w:rPr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Pr="006B6B09">
                                  <w:rPr>
                                    <w:lang w:val="en-US"/>
                                  </w:rPr>
                                  <w:t>Bioeconomy</w:t>
                                </w:r>
                                <w:proofErr w:type="spellEnd"/>
                                <w:r w:rsidRPr="006B6B09">
                                  <w:rPr>
                                    <w:lang w:val="en-US"/>
                                  </w:rPr>
                                  <w:t xml:space="preserve"> Strategies and Action Plans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F43B0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-26.2pt;margin-top:566.6pt;width:469.3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" filled="f" stroked="f" strokeweight=".5pt">
                    <v:textbox>
                      <w:txbxContent>
                        <w:p w14:paraId="7B3900CE" w14:textId="6A33A902" w:rsidR="00862C06" w:rsidRDefault="007377D9" w:rsidP="007B265B">
                          <w:pPr>
                            <w:spacing w:line="276" w:lineRule="auto"/>
                            <w:jc w:val="right"/>
                            <w:rPr>
                              <w:rFonts w:cs="Times New Roman (Cuerpo en alfa"/>
                              <w:b/>
                              <w:color w:val="64C803"/>
                              <w:sz w:val="48"/>
                              <w:szCs w:val="48"/>
                              <w:lang w:val="en-US"/>
                            </w:rPr>
                          </w:pPr>
                          <w:r w:rsidRPr="007377D9">
                            <w:rPr>
                              <w:rFonts w:cs="Times New Roman (Cuerpo en alfa"/>
                              <w:b/>
                              <w:color w:val="64C803"/>
                              <w:sz w:val="48"/>
                              <w:szCs w:val="48"/>
                              <w:lang w:val="en-US"/>
                            </w:rPr>
                            <w:t>“</w:t>
                          </w:r>
                          <w:r w:rsidRPr="007377D9">
                            <w:rPr>
                              <w:rFonts w:cs="Times New Roman (Cuerpo en alfa"/>
                              <w:b/>
                              <w:color w:val="64C803"/>
                              <w:sz w:val="48"/>
                              <w:szCs w:val="48"/>
                              <w:lang w:val="bg-BG"/>
                            </w:rPr>
                            <w:t xml:space="preserve">Подпомагане на страните от Централна и Източна Европа при разработване на стратегии и планове за действие за </w:t>
                          </w:r>
                          <w:proofErr w:type="spellStart"/>
                          <w:r w:rsidRPr="007377D9">
                            <w:rPr>
                              <w:rFonts w:cs="Times New Roman (Cuerpo en alfa"/>
                              <w:b/>
                              <w:color w:val="64C803"/>
                              <w:sz w:val="48"/>
                              <w:szCs w:val="48"/>
                              <w:lang w:val="bg-BG"/>
                            </w:rPr>
                            <w:t>биоикономика</w:t>
                          </w:r>
                          <w:proofErr w:type="spellEnd"/>
                          <w:r w:rsidRPr="007377D9">
                            <w:rPr>
                              <w:rFonts w:cs="Times New Roman (Cuerpo en alfa"/>
                              <w:b/>
                              <w:color w:val="64C803"/>
                              <w:sz w:val="48"/>
                              <w:szCs w:val="48"/>
                              <w:lang w:val="en-US"/>
                            </w:rPr>
                            <w:t>”</w:t>
                          </w:r>
                        </w:p>
                        <w:p w14:paraId="3B8E1906" w14:textId="77777777" w:rsidR="007B265B" w:rsidRPr="00307B7C" w:rsidRDefault="007B265B" w:rsidP="007B265B">
                          <w:pPr>
                            <w:rPr>
                              <w:lang w:val="en-US"/>
                            </w:rPr>
                          </w:pPr>
                        </w:p>
                        <w:p w14:paraId="5562C728" w14:textId="77777777" w:rsidR="007B265B" w:rsidRPr="00307B7C" w:rsidRDefault="007B265B" w:rsidP="007B265B">
                          <w:pPr>
                            <w:rPr>
                              <w:lang w:val="en-US"/>
                            </w:rPr>
                          </w:pPr>
                          <w:r w:rsidRPr="006B6B09">
                            <w:rPr>
                              <w:lang w:val="en-US"/>
                            </w:rPr>
                            <w:t xml:space="preserve">Empowering the Central and </w:t>
                          </w:r>
                          <w:r w:rsidRPr="006B6B09">
                            <w:rPr>
                              <w:lang w:val="en-US"/>
                            </w:rPr>
                            <w:br/>
                            <w:t xml:space="preserve">Eastern European Countries to Develop </w:t>
                          </w:r>
                          <w:r w:rsidRPr="006B6B09">
                            <w:rPr>
                              <w:lang w:val="en-US"/>
                            </w:rPr>
                            <w:br/>
                            <w:t>Bioeconomy Strategies and Action Plans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B265B" w:rsidRPr="007B265B">
            <w:rPr>
              <w:noProof/>
              <w:sz w:val="2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FB8C51" wp14:editId="355E6016">
                    <wp:simplePos x="0" y="0"/>
                    <wp:positionH relativeFrom="column">
                      <wp:posOffset>-1077595</wp:posOffset>
                    </wp:positionH>
                    <wp:positionV relativeFrom="paragraph">
                      <wp:posOffset>9164320</wp:posOffset>
                    </wp:positionV>
                    <wp:extent cx="7566660" cy="1539240"/>
                    <wp:effectExtent l="0" t="0" r="0" b="0"/>
                    <wp:wrapNone/>
                    <wp:docPr id="6" name="Cuadro de tex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666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78BC02" w14:textId="245B9AEF" w:rsidR="004759D1" w:rsidRPr="00307B7C" w:rsidRDefault="007377D9" w:rsidP="004759D1">
                                <w:pPr>
                                  <w:pStyle w:val="Titles"/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lang w:val="bg-BG"/>
                                  </w:rPr>
                                  <w:t>Прессъобщение</w:t>
                                </w:r>
                                <w:proofErr w:type="spellEnd"/>
                                <w:r w:rsidR="00CB3A6D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469DBE7" w14:textId="4D34697D" w:rsidR="00862C06" w:rsidRPr="007377D9" w:rsidRDefault="007377D9" w:rsidP="00862C06">
                                <w:pPr>
                                  <w:pStyle w:val="Titles"/>
                                  <w:spacing w:line="276" w:lineRule="auto"/>
                                  <w:rPr>
                                    <w:rFonts w:asciiTheme="minorHAnsi" w:hAnsiTheme="minorHAnsi"/>
                                    <w:b w:val="0"/>
                                    <w:bCs/>
                                    <w:color w:val="92D050"/>
                                    <w:sz w:val="32"/>
                                    <w:szCs w:val="32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/>
                                    <w:color w:val="92D050"/>
                                    <w:sz w:val="32"/>
                                    <w:szCs w:val="32"/>
                                    <w:lang w:val="bg-BG"/>
                                  </w:rPr>
                                  <w:t>СЕПТЕМВРИ</w:t>
                                </w:r>
                                <w:r w:rsidR="00862C06" w:rsidRPr="00307B7C">
                                  <w:rPr>
                                    <w:b w:val="0"/>
                                    <w:bCs/>
                                    <w:color w:val="92D050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2022</w:t>
                                </w:r>
                                <w:r>
                                  <w:rPr>
                                    <w:rFonts w:asciiTheme="minorHAnsi" w:hAnsiTheme="minorHAnsi"/>
                                    <w:b w:val="0"/>
                                    <w:bCs/>
                                    <w:color w:val="92D050"/>
                                    <w:sz w:val="32"/>
                                    <w:szCs w:val="32"/>
                                    <w:lang w:val="bg-BG"/>
                                  </w:rPr>
                                  <w:t xml:space="preserve"> г.</w:t>
                                </w:r>
                              </w:p>
                              <w:p w14:paraId="2E8AF907" w14:textId="6C25F213" w:rsidR="007B265B" w:rsidRPr="00307B7C" w:rsidRDefault="007B265B" w:rsidP="007B265B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14:paraId="24805730" w14:textId="77777777" w:rsidR="007B265B" w:rsidRPr="00307B7C" w:rsidRDefault="007B265B" w:rsidP="007B265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3ACA7CF1" w14:textId="77777777" w:rsidR="007B265B" w:rsidRPr="00307B7C" w:rsidRDefault="007B265B" w:rsidP="007B265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FB8C5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7" type="#_x0000_t202" style="position:absolute;left:0;text-align:left;margin-left:-84.85pt;margin-top:721.6pt;width:595.8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" filled="f" stroked="f" strokeweight=".5pt">
                    <v:textbox>
                      <w:txbxContent>
                        <w:p w14:paraId="0378BC02" w14:textId="245B9AEF" w:rsidR="004759D1" w:rsidRPr="00307B7C" w:rsidRDefault="007377D9" w:rsidP="004759D1">
                          <w:pPr>
                            <w:pStyle w:val="Titles"/>
                            <w:spacing w:line="276" w:lineRule="auto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lang w:val="bg-BG"/>
                            </w:rPr>
                            <w:t>Прессъобщение</w:t>
                          </w:r>
                          <w:proofErr w:type="spellEnd"/>
                          <w:r w:rsidR="00CB3A6D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0469DBE7" w14:textId="4D34697D" w:rsidR="00862C06" w:rsidRPr="007377D9" w:rsidRDefault="007377D9" w:rsidP="00862C06">
                          <w:pPr>
                            <w:pStyle w:val="Titles"/>
                            <w:spacing w:line="276" w:lineRule="auto"/>
                            <w:rPr>
                              <w:rFonts w:asciiTheme="minorHAnsi" w:hAnsiTheme="minorHAnsi"/>
                              <w:b w:val="0"/>
                              <w:bCs/>
                              <w:color w:val="92D050"/>
                              <w:sz w:val="32"/>
                              <w:szCs w:val="32"/>
                              <w:lang w:val="bg-BG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Theme="minorHAnsi" w:hAnsiTheme="minorHAnsi"/>
                              <w:b w:val="0"/>
                              <w:bCs/>
                              <w:color w:val="92D050"/>
                              <w:sz w:val="32"/>
                              <w:szCs w:val="32"/>
                              <w:lang w:val="bg-BG"/>
                            </w:rPr>
                            <w:t>СЕПТЕМВРИ</w:t>
                          </w:r>
                          <w:r w:rsidR="00862C06" w:rsidRPr="00307B7C">
                            <w:rPr>
                              <w:b w:val="0"/>
                              <w:bCs/>
                              <w:color w:val="92D050"/>
                              <w:sz w:val="32"/>
                              <w:szCs w:val="32"/>
                              <w:lang w:val="en-US"/>
                            </w:rPr>
                            <w:t xml:space="preserve"> 2022</w:t>
                          </w:r>
                          <w:r>
                            <w:rPr>
                              <w:rFonts w:asciiTheme="minorHAnsi" w:hAnsiTheme="minorHAnsi"/>
                              <w:b w:val="0"/>
                              <w:bCs/>
                              <w:color w:val="92D050"/>
                              <w:sz w:val="32"/>
                              <w:szCs w:val="32"/>
                              <w:lang w:val="bg-BG"/>
                            </w:rPr>
                            <w:t xml:space="preserve"> г.</w:t>
                          </w:r>
                        </w:p>
                        <w:p w14:paraId="2E8AF907" w14:textId="6C25F213" w:rsidR="007B265B" w:rsidRPr="00307B7C" w:rsidRDefault="007B265B" w:rsidP="007B265B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</w:p>
                        <w:p w14:paraId="24805730" w14:textId="77777777" w:rsidR="007B265B" w:rsidRPr="00307B7C" w:rsidRDefault="007B265B" w:rsidP="007B265B">
                          <w:pPr>
                            <w:rPr>
                              <w:lang w:val="en-US"/>
                            </w:rPr>
                          </w:pPr>
                        </w:p>
                        <w:p w14:paraId="3ACA7CF1" w14:textId="77777777" w:rsidR="007B265B" w:rsidRPr="00307B7C" w:rsidRDefault="007B265B" w:rsidP="007B265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B265B">
            <w:rPr>
              <w:noProof/>
              <w:lang w:val="bg-BG" w:eastAsia="bg-BG"/>
            </w:rPr>
            <w:drawing>
              <wp:inline distT="0" distB="0" distL="0" distR="0" wp14:anchorId="0BF6DD61" wp14:editId="6F135D8A">
                <wp:extent cx="7658100" cy="1082346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3004" cy="1083039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</pic:spPr>
                    </pic:pic>
                  </a:graphicData>
                </a:graphic>
              </wp:inline>
            </w:drawing>
          </w:r>
        </w:p>
      </w:sdtContent>
    </w:sdt>
    <w:p w14:paraId="2EF4AFD7" w14:textId="77777777" w:rsidR="00333711" w:rsidRPr="00333711" w:rsidRDefault="00333711" w:rsidP="00333711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333711">
        <w:rPr>
          <w:rFonts w:ascii="Times New Roman" w:eastAsia="Times New Roman" w:hAnsi="Times New Roman" w:cs="Times New Roman"/>
          <w:b/>
          <w:lang w:val="en-GB"/>
        </w:rPr>
        <w:lastRenderedPageBreak/>
        <w:t>ПРЕС</w:t>
      </w:r>
      <w:r w:rsidRPr="00333711">
        <w:rPr>
          <w:rFonts w:ascii="Times New Roman" w:eastAsia="Times New Roman" w:hAnsi="Times New Roman" w:cs="Times New Roman"/>
          <w:b/>
          <w:lang w:val="bg-BG"/>
        </w:rPr>
        <w:t>СЪОБЩЕНИЕ</w:t>
      </w:r>
    </w:p>
    <w:p w14:paraId="7C0A90A3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3C5BACA2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Проект </w:t>
      </w:r>
      <w:r w:rsidRPr="00333711">
        <w:rPr>
          <w:rFonts w:ascii="Times New Roman" w:eastAsia="Times New Roman" w:hAnsi="Times New Roman" w:cs="Times New Roman"/>
          <w:lang w:val="en-US"/>
        </w:rPr>
        <w:t>“</w:t>
      </w:r>
      <w:r w:rsidRPr="00333711">
        <w:rPr>
          <w:rFonts w:ascii="Times New Roman" w:eastAsia="Times New Roman" w:hAnsi="Times New Roman" w:cs="Times New Roman"/>
          <w:lang w:val="bg-BG"/>
        </w:rPr>
        <w:t xml:space="preserve">Подпомагане на страните от Централна и Източна Европа при разработване на стратегии и планове за действие за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en-US"/>
        </w:rPr>
        <w:t>”</w:t>
      </w:r>
      <w:r w:rsidRPr="00333711">
        <w:rPr>
          <w:rFonts w:ascii="Times New Roman" w:eastAsia="Times New Roman" w:hAnsi="Times New Roman" w:cs="Times New Roman"/>
          <w:lang w:val="bg-BG"/>
        </w:rPr>
        <w:t xml:space="preserve"> - CEE2ACT стартира в подкрепа на 10 страни от Централна и Източна Европа за разработването на стратегии за кръгова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>.</w:t>
      </w:r>
    </w:p>
    <w:p w14:paraId="23FAA097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60EF7D3F" w14:textId="20665833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На 13-14 септември 2022 г. представители на 17 европейски организации от 17 държави се събраха в гр. Будапеща на стартиращата среща на проект CEE2ACT, финансиран по програмата за изследвания и иновации </w:t>
      </w:r>
      <w:r w:rsidRPr="00333711">
        <w:rPr>
          <w:rFonts w:ascii="Times New Roman" w:eastAsia="Times New Roman" w:hAnsi="Times New Roman" w:cs="Times New Roman"/>
          <w:lang w:val="en-US"/>
        </w:rPr>
        <w:t>“</w:t>
      </w:r>
      <w:r w:rsidRPr="00333711">
        <w:rPr>
          <w:rFonts w:ascii="Times New Roman" w:eastAsia="Times New Roman" w:hAnsi="Times New Roman" w:cs="Times New Roman"/>
          <w:lang w:val="bg-BG"/>
        </w:rPr>
        <w:t>Хоризонт Европа</w:t>
      </w:r>
      <w:r w:rsidRPr="00333711">
        <w:rPr>
          <w:rFonts w:ascii="Times New Roman" w:eastAsia="Times New Roman" w:hAnsi="Times New Roman" w:cs="Times New Roman"/>
          <w:lang w:val="en-US"/>
        </w:rPr>
        <w:t>”</w:t>
      </w:r>
      <w:r w:rsidR="002A27E2">
        <w:rPr>
          <w:rFonts w:ascii="Times New Roman" w:eastAsia="Times New Roman" w:hAnsi="Times New Roman" w:cs="Times New Roman"/>
          <w:lang w:val="bg-BG"/>
        </w:rPr>
        <w:t xml:space="preserve"> </w:t>
      </w:r>
      <w:r w:rsidRPr="00333711">
        <w:rPr>
          <w:rFonts w:ascii="Times New Roman" w:eastAsia="Times New Roman" w:hAnsi="Times New Roman" w:cs="Times New Roman"/>
          <w:lang w:val="bg-BG"/>
        </w:rPr>
        <w:t>на Европейския съюз.</w:t>
      </w:r>
    </w:p>
    <w:p w14:paraId="5EA4C329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71DFDD99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Европейският зелен пакт постави Европа по пътя й към това да бъде първият неутрален по отношение на климата континент до 2050 г. и да постигне зелен преход, който е справедлив, честен и приобщаващ. Един от седемте основни пътя за постигане на тази климатична неутралност е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. Актуализацията от 2018 г. на стратегията на ЕС за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подчерта значението на разработването на национални стратегии за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и планове за действие с цел внедряване на устойчива и кръгова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в цяла Европа, като се вземат предвид икономическите, социалните и екологичните аспекти.</w:t>
      </w:r>
    </w:p>
    <w:p w14:paraId="34453164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5D849814" w14:textId="77777777" w:rsidR="00333711" w:rsidRPr="002A27E2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2A27E2">
        <w:rPr>
          <w:rFonts w:ascii="Times New Roman" w:eastAsia="Times New Roman" w:hAnsi="Times New Roman" w:cs="Times New Roman"/>
          <w:lang w:val="bg-BG"/>
        </w:rPr>
        <w:t xml:space="preserve">Към днешна дата все още има много държави-членки, включително от Централна и Източна Европа (ЦИЕ), които нямат национални стратегии за 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 и съответни планове за действие, въпреки тяхната висока ресурсна база от биомаса и нов потенциал за развитие на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. Съществуват обаче и съответните регионални инициативи в подкрепа на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 в страните от Централна и Източна Европа.</w:t>
      </w:r>
    </w:p>
    <w:p w14:paraId="42CB0D6F" w14:textId="77777777" w:rsidR="00333711" w:rsidRPr="002A27E2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02CF30D2" w14:textId="1D5DC60C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2A27E2">
        <w:rPr>
          <w:rFonts w:ascii="Times New Roman" w:eastAsia="Times New Roman" w:hAnsi="Times New Roman" w:cs="Times New Roman"/>
          <w:lang w:val="bg-BG"/>
        </w:rPr>
        <w:t xml:space="preserve">Според доклада за напредъка на стратегията за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 на ЕС (публикуван на 9 юни 2022 г.), България е отнесена към държавите членки на ЕС, които нямат национални стратегии за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, но в които има предприети и разработени други политически инициативи и документи посветени на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. На практика, България има разработени секторни и регионални стратегии за развитие на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>, като: Стратегия за укреп</w:t>
      </w:r>
      <w:r w:rsidR="009B517C">
        <w:rPr>
          <w:rFonts w:ascii="Times New Roman" w:eastAsia="Times New Roman" w:hAnsi="Times New Roman" w:cs="Times New Roman"/>
          <w:lang w:val="bg-BG"/>
        </w:rPr>
        <w:t xml:space="preserve">ване ролята на аграрния сектор </w:t>
      </w:r>
      <w:r w:rsidRPr="002A27E2">
        <w:rPr>
          <w:rFonts w:ascii="Times New Roman" w:eastAsia="Times New Roman" w:hAnsi="Times New Roman" w:cs="Times New Roman"/>
          <w:lang w:val="bg-BG"/>
        </w:rPr>
        <w:t xml:space="preserve">в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 (МЗХГ), 2019,</w:t>
      </w:r>
      <w:r w:rsidRPr="002A27E2">
        <w:rPr>
          <w:rFonts w:ascii="CenturyGothic" w:eastAsia="Calibri" w:hAnsi="CenturyGothic" w:cs="CenturyGothic"/>
          <w:color w:val="FFFFFF"/>
          <w:sz w:val="36"/>
          <w:szCs w:val="36"/>
          <w:lang w:val="bg-BG"/>
        </w:rPr>
        <w:t xml:space="preserve"> </w:t>
      </w:r>
      <w:r w:rsidRPr="002A27E2">
        <w:rPr>
          <w:rFonts w:ascii="Times New Roman" w:eastAsia="Times New Roman" w:hAnsi="Times New Roman" w:cs="Times New Roman"/>
          <w:lang w:val="bg-BG"/>
        </w:rPr>
        <w:t xml:space="preserve">Стратегия за преход към кръгова икономика, 2021-2027, Стратегия за развитие на </w:t>
      </w:r>
      <w:proofErr w:type="spellStart"/>
      <w:r w:rsidRPr="002A27E2">
        <w:rPr>
          <w:rFonts w:ascii="Times New Roman" w:eastAsia="Times New Roman" w:hAnsi="Times New Roman" w:cs="Times New Roman"/>
          <w:lang w:val="bg-BG"/>
        </w:rPr>
        <w:t>биоикономиката</w:t>
      </w:r>
      <w:proofErr w:type="spellEnd"/>
      <w:r w:rsidRPr="002A27E2">
        <w:rPr>
          <w:rFonts w:ascii="Times New Roman" w:eastAsia="Times New Roman" w:hAnsi="Times New Roman" w:cs="Times New Roman"/>
          <w:lang w:val="bg-BG"/>
        </w:rPr>
        <w:t xml:space="preserve"> в област Стара Загора, 2017  и др.</w:t>
      </w:r>
    </w:p>
    <w:p w14:paraId="6190A56E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05274F33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Целта на CEE2ACT е да даде възможност на страните в Централна и Източна Европа (Унгария, България, Хърватия, Чехия, Полша, Румъния, Словакия, Словения) и извън тях (Гърция, Република Сърбия) да разработят стратегии и планове за действие за кръгова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чрез трансфер на знания и внедряване на иновативни модели на управление, за постигане на по-добре информирани процеси за вземане на решения, обществена ангажираност и иновации, надграждайки практиките на страни с опит (Австрия, Белгия, Финландия, Германия, Холандия, Испания, Швеция).</w:t>
      </w:r>
    </w:p>
    <w:p w14:paraId="501600AA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772448E1" w14:textId="09CA02ED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lastRenderedPageBreak/>
        <w:t xml:space="preserve">Трансферът на знания и вдъхновението в креативни формати, които отговарят на мотивациите, нуждите и пропуските в знанията на всяка целева страна на CEE2ACT, ще бъдат реализирани чрез създаването на национални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биоикономически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центрове по проекта CEE2ACT. Подход отдолу нагоре ще се прилага в рамките на дейностите по проекта, като по този начин ще се избегнат специфичните пропуски в знанията и недостатъците на конвенционалния подход отгоре надолу, като се изграждат по-тесни взаимовръзки между участниците в публичните институции, частния сектор, индустрията, енергетиката, </w:t>
      </w:r>
      <w:r w:rsidR="009B517C">
        <w:rPr>
          <w:rFonts w:ascii="Times New Roman" w:eastAsia="Times New Roman" w:hAnsi="Times New Roman" w:cs="Times New Roman"/>
          <w:lang w:val="bg-BG"/>
        </w:rPr>
        <w:t>Малки и Средни Предприятие (</w:t>
      </w:r>
      <w:r w:rsidRPr="00333711">
        <w:rPr>
          <w:rFonts w:ascii="Times New Roman" w:eastAsia="Times New Roman" w:hAnsi="Times New Roman" w:cs="Times New Roman"/>
          <w:lang w:val="bg-BG"/>
        </w:rPr>
        <w:t>МСП</w:t>
      </w:r>
      <w:r w:rsidR="009B517C">
        <w:rPr>
          <w:rFonts w:ascii="Times New Roman" w:eastAsia="Times New Roman" w:hAnsi="Times New Roman" w:cs="Times New Roman"/>
          <w:lang w:val="bg-BG"/>
        </w:rPr>
        <w:t>)</w:t>
      </w:r>
      <w:r w:rsidRPr="00333711">
        <w:rPr>
          <w:rFonts w:ascii="Times New Roman" w:eastAsia="Times New Roman" w:hAnsi="Times New Roman" w:cs="Times New Roman"/>
          <w:lang w:val="bg-BG"/>
        </w:rPr>
        <w:t xml:space="preserve">, доставчиците на суровини </w:t>
      </w:r>
      <w:r w:rsidRPr="002A27E2">
        <w:rPr>
          <w:rFonts w:ascii="Times New Roman" w:eastAsia="Times New Roman" w:hAnsi="Times New Roman" w:cs="Times New Roman"/>
          <w:lang w:val="bg-BG"/>
        </w:rPr>
        <w:t>за преработване (напр. отпадъци, междинни продукти,</w:t>
      </w:r>
      <w:r w:rsidRPr="00333711">
        <w:rPr>
          <w:rFonts w:ascii="Times New Roman" w:eastAsia="Times New Roman" w:hAnsi="Times New Roman" w:cs="Times New Roman"/>
          <w:lang w:val="bg-BG"/>
        </w:rPr>
        <w:t xml:space="preserve"> фермери, горски стопани, рибари), академичните среди и изследователите, НПО и организации на гражданското общество в целевите страни.</w:t>
      </w:r>
    </w:p>
    <w:p w14:paraId="460CD8BF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За да се постигне това, ще бъде извършена базова оценка и ще бъдат изпълнени дейности за ангажиране на заинтересованите страни, като се гарантира активното участие на всички заинтересовани страни. Ще бъдат създадени цифрови решения за устойчиво управление, подпомагащи обмена на най-добри практики за трансфер на технологии и изграждане на капацитета на заинтересованите страни за разработване на стратегии за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отдолу нагоре.</w:t>
      </w:r>
    </w:p>
    <w:p w14:paraId="75E3FEB6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46AF7877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Констатациите ще бъдат използвани и разпространени чрез практически инструменти, насоки и препоръки за политики в подкрепа на страните бенефициенти да разработят гъвкави и приобщаващи стратегии за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и планове за действие, засилвайки обществената ангажираност в прехода на страните към кръгова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биоикономика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>.</w:t>
      </w:r>
    </w:p>
    <w:p w14:paraId="54AD39E2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4F5ED740" w14:textId="25DEF3AC" w:rsidR="00333711" w:rsidRPr="00333711" w:rsidRDefault="00CB5D3C" w:rsidP="00333711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Относно проект</w:t>
      </w:r>
      <w:r w:rsidR="00333711" w:rsidRPr="00333711">
        <w:rPr>
          <w:rFonts w:ascii="Times New Roman" w:eastAsia="Times New Roman" w:hAnsi="Times New Roman" w:cs="Times New Roman"/>
          <w:b/>
          <w:lang w:val="bg-BG"/>
        </w:rPr>
        <w:t xml:space="preserve"> CEE2ACT</w:t>
      </w:r>
      <w:bookmarkStart w:id="0" w:name="_GoBack"/>
      <w:bookmarkEnd w:id="0"/>
    </w:p>
    <w:p w14:paraId="04748B45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>Географски обхват: Австрия, Белгия, България, Хърватия, Чехия, Финландия, Германия, Гърция, Унгария, Холандия, Полша, Румъния, Сърбия, Словакия, Словения, Испания, Швеция.</w:t>
      </w:r>
    </w:p>
    <w:p w14:paraId="060F8174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1BE5F923" w14:textId="7BAE7008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Общ бюджет и източник на финансиране: 3,9 млн. евро. HORIZON-CL6-2021-Governance-01-10 Проект за действие, за координация и подкрепа на </w:t>
      </w:r>
      <w:r w:rsidRPr="00333711">
        <w:rPr>
          <w:rFonts w:ascii="Times New Roman" w:eastAsia="Times New Roman" w:hAnsi="Times New Roman" w:cs="Times New Roman"/>
          <w:lang w:val="en-US"/>
        </w:rPr>
        <w:t>“</w:t>
      </w:r>
      <w:r w:rsidRPr="00333711">
        <w:rPr>
          <w:rFonts w:ascii="Times New Roman" w:eastAsia="Times New Roman" w:hAnsi="Times New Roman" w:cs="Times New Roman"/>
          <w:lang w:val="bg-BG"/>
        </w:rPr>
        <w:t>Хоризонт Европа</w:t>
      </w:r>
      <w:r w:rsidRPr="00333711">
        <w:rPr>
          <w:rFonts w:ascii="Times New Roman" w:eastAsia="Times New Roman" w:hAnsi="Times New Roman" w:cs="Times New Roman"/>
          <w:lang w:val="en-US"/>
        </w:rPr>
        <w:t>”</w:t>
      </w:r>
      <w:r w:rsidRPr="00333711">
        <w:rPr>
          <w:rFonts w:ascii="Times New Roman" w:eastAsia="Times New Roman" w:hAnsi="Times New Roman" w:cs="Times New Roman"/>
          <w:lang w:val="bg-BG"/>
        </w:rPr>
        <w:t>. Този проект е получил финансиране от програмата за научни изсле</w:t>
      </w:r>
      <w:r>
        <w:rPr>
          <w:rFonts w:ascii="Times New Roman" w:eastAsia="Times New Roman" w:hAnsi="Times New Roman" w:cs="Times New Roman"/>
          <w:lang w:val="bg-BG"/>
        </w:rPr>
        <w:t>двания и иновации „Хоризонт Европа“</w:t>
      </w:r>
      <w:r w:rsidRPr="00333711">
        <w:rPr>
          <w:rFonts w:ascii="Times New Roman" w:eastAsia="Times New Roman" w:hAnsi="Times New Roman" w:cs="Times New Roman"/>
          <w:lang w:val="bg-BG"/>
        </w:rPr>
        <w:t xml:space="preserve"> на Европейския съюз съгласно споразумение за безвъзмездна помощ № 101060280.</w:t>
      </w:r>
    </w:p>
    <w:p w14:paraId="60937DD1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154EAD6B" w14:textId="3893F7D4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Продължителност: 36 </w:t>
      </w:r>
      <w:r w:rsidR="00CD3919">
        <w:rPr>
          <w:rFonts w:ascii="Times New Roman" w:eastAsia="Times New Roman" w:hAnsi="Times New Roman" w:cs="Times New Roman"/>
          <w:lang w:val="bg-BG"/>
        </w:rPr>
        <w:t>месеца (1 септември 2022 г. – 3</w:t>
      </w:r>
      <w:r w:rsidR="00CD3919">
        <w:rPr>
          <w:rFonts w:ascii="Times New Roman" w:eastAsia="Times New Roman" w:hAnsi="Times New Roman" w:cs="Times New Roman"/>
          <w:lang w:val="en-US"/>
        </w:rPr>
        <w:t>1</w:t>
      </w:r>
      <w:r w:rsidRPr="00333711">
        <w:rPr>
          <w:rFonts w:ascii="Times New Roman" w:eastAsia="Times New Roman" w:hAnsi="Times New Roman" w:cs="Times New Roman"/>
          <w:lang w:val="bg-BG"/>
        </w:rPr>
        <w:t xml:space="preserve"> </w:t>
      </w:r>
      <w:r w:rsidR="00CD3919">
        <w:rPr>
          <w:rFonts w:ascii="Times New Roman" w:eastAsia="Times New Roman" w:hAnsi="Times New Roman" w:cs="Times New Roman"/>
          <w:lang w:val="bg-BG"/>
        </w:rPr>
        <w:t xml:space="preserve">август </w:t>
      </w:r>
      <w:r w:rsidRPr="00333711">
        <w:rPr>
          <w:rFonts w:ascii="Times New Roman" w:eastAsia="Times New Roman" w:hAnsi="Times New Roman" w:cs="Times New Roman"/>
          <w:lang w:val="bg-BG"/>
        </w:rPr>
        <w:t>2025 г.)</w:t>
      </w:r>
    </w:p>
    <w:p w14:paraId="065FAA55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1F1624CC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Координатор: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María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Beatriz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Rosell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, старши ръководител на проекта,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Geonardo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Environmental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Technologies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Ltd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>., имейл: maria.beatriz.rosell@geonardo.com</w:t>
      </w:r>
    </w:p>
    <w:p w14:paraId="2F8E5624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028B671E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Медии и комуникации: </w:t>
      </w:r>
      <w:r w:rsidRPr="00333711">
        <w:rPr>
          <w:rFonts w:ascii="Times New Roman" w:eastAsia="Times New Roman" w:hAnsi="Times New Roman" w:cs="Times New Roman"/>
          <w:lang w:val="en-US"/>
        </w:rPr>
        <w:t xml:space="preserve">Nathalie </w:t>
      </w:r>
      <w:proofErr w:type="spellStart"/>
      <w:r w:rsidRPr="00333711">
        <w:rPr>
          <w:rFonts w:ascii="Times New Roman" w:eastAsia="Times New Roman" w:hAnsi="Times New Roman" w:cs="Times New Roman"/>
          <w:lang w:val="en-US"/>
        </w:rPr>
        <w:t>Bargues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, ръководител на проекта,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Greenovate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! </w:t>
      </w:r>
      <w:r w:rsidRPr="00333711">
        <w:rPr>
          <w:rFonts w:ascii="Times New Roman" w:eastAsia="Times New Roman" w:hAnsi="Times New Roman" w:cs="Times New Roman"/>
          <w:lang w:val="en-US"/>
        </w:rPr>
        <w:t>Europe</w:t>
      </w:r>
      <w:r w:rsidRPr="00333711">
        <w:rPr>
          <w:rFonts w:ascii="Times New Roman" w:eastAsia="Times New Roman" w:hAnsi="Times New Roman" w:cs="Times New Roman"/>
          <w:lang w:val="bg-BG"/>
        </w:rPr>
        <w:t>, имейл: n.bargues@greenovate-europe.eu</w:t>
      </w:r>
    </w:p>
    <w:p w14:paraId="38FF9AAD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40DDC235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>Предстоящ уебсайт: www.cee2act.eu</w:t>
      </w:r>
    </w:p>
    <w:p w14:paraId="16703031" w14:textId="77777777" w:rsidR="00333711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59313043" w14:textId="6AEA2C63" w:rsidR="00830772" w:rsidRPr="00333711" w:rsidRDefault="00333711" w:rsidP="00333711">
      <w:pPr>
        <w:jc w:val="both"/>
        <w:rPr>
          <w:rFonts w:ascii="Times New Roman" w:eastAsia="Times New Roman" w:hAnsi="Times New Roman" w:cs="Times New Roman"/>
          <w:lang w:val="bg-BG"/>
        </w:rPr>
      </w:pPr>
      <w:r w:rsidRPr="00333711">
        <w:rPr>
          <w:rFonts w:ascii="Times New Roman" w:eastAsia="Times New Roman" w:hAnsi="Times New Roman" w:cs="Times New Roman"/>
          <w:lang w:val="bg-BG"/>
        </w:rPr>
        <w:t xml:space="preserve">Социални медийни канали: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LinkedIn</w:t>
      </w:r>
      <w:proofErr w:type="spellEnd"/>
      <w:r w:rsidRPr="00333711">
        <w:rPr>
          <w:rFonts w:ascii="Times New Roman" w:eastAsia="Times New Roman" w:hAnsi="Times New Roman" w:cs="Times New Roman"/>
          <w:lang w:val="bg-BG"/>
        </w:rPr>
        <w:t xml:space="preserve"> и </w:t>
      </w:r>
      <w:proofErr w:type="spellStart"/>
      <w:r w:rsidRPr="00333711">
        <w:rPr>
          <w:rFonts w:ascii="Times New Roman" w:eastAsia="Times New Roman" w:hAnsi="Times New Roman" w:cs="Times New Roman"/>
          <w:lang w:val="bg-BG"/>
        </w:rPr>
        <w:t>Twitter</w:t>
      </w:r>
      <w:proofErr w:type="spellEnd"/>
    </w:p>
    <w:sectPr w:rsidR="00830772" w:rsidRPr="00333711" w:rsidSect="00307B7C">
      <w:headerReference w:type="even" r:id="rId12"/>
      <w:headerReference w:type="default" r:id="rId13"/>
      <w:footerReference w:type="default" r:id="rId14"/>
      <w:pgSz w:w="11906" w:h="16838"/>
      <w:pgMar w:top="0" w:right="1701" w:bottom="900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74147" w14:textId="77777777" w:rsidR="008921D0" w:rsidRDefault="008921D0" w:rsidP="007B265B">
      <w:r>
        <w:separator/>
      </w:r>
    </w:p>
  </w:endnote>
  <w:endnote w:type="continuationSeparator" w:id="0">
    <w:p w14:paraId="7EDCDD75" w14:textId="77777777" w:rsidR="008921D0" w:rsidRDefault="008921D0" w:rsidP="007B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5BDA" w14:textId="4381D0E1" w:rsidR="007B265B" w:rsidRDefault="007B265B" w:rsidP="007B265B">
    <w:pPr>
      <w:pStyle w:val="Footer"/>
      <w:ind w:left="-1701"/>
    </w:pPr>
    <w:r>
      <w:rPr>
        <w:noProof/>
        <w:lang w:val="bg-BG" w:eastAsia="bg-BG"/>
      </w:rPr>
      <w:drawing>
        <wp:inline distT="0" distB="0" distL="0" distR="0" wp14:anchorId="641F1603" wp14:editId="250F5683">
          <wp:extent cx="7584621" cy="1096130"/>
          <wp:effectExtent l="0" t="0" r="0" b="0"/>
          <wp:docPr id="1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949" cy="113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1CAE" w14:textId="77777777" w:rsidR="008921D0" w:rsidRDefault="008921D0" w:rsidP="007B265B">
      <w:r>
        <w:separator/>
      </w:r>
    </w:p>
  </w:footnote>
  <w:footnote w:type="continuationSeparator" w:id="0">
    <w:p w14:paraId="3D19AEEB" w14:textId="77777777" w:rsidR="008921D0" w:rsidRDefault="008921D0" w:rsidP="007B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E189" w14:textId="4EB77A5D" w:rsidR="009A15AF" w:rsidRDefault="009A15AF" w:rsidP="00F7394A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7B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9E060D" w14:textId="77777777" w:rsidR="009A15AF" w:rsidRDefault="009A15AF" w:rsidP="009A15A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816472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5725A5" w14:textId="51205832" w:rsidR="009A15AF" w:rsidRDefault="009A15AF" w:rsidP="005B3387">
        <w:pPr>
          <w:pStyle w:val="Header"/>
          <w:framePr w:wrap="none" w:vAnchor="text" w:hAnchor="page" w:x="1051" w:y="75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517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0BACD" w14:textId="21F9AEC0" w:rsidR="007B265B" w:rsidRDefault="002A202F" w:rsidP="009A15AF">
    <w:pPr>
      <w:pStyle w:val="Header"/>
      <w:tabs>
        <w:tab w:val="clear" w:pos="8504"/>
      </w:tabs>
      <w:ind w:left="-1701" w:right="-1701" w:firstLine="360"/>
      <w:jc w:val="right"/>
    </w:pPr>
    <w:r>
      <w:rPr>
        <w:noProof/>
        <w:lang w:val="bg-BG" w:eastAsia="bg-BG"/>
      </w:rPr>
      <w:drawing>
        <wp:inline distT="0" distB="0" distL="0" distR="0" wp14:anchorId="02B1B047" wp14:editId="07857194">
          <wp:extent cx="3009900" cy="1092200"/>
          <wp:effectExtent l="0" t="0" r="0" b="0"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F9A48" w14:textId="77777777" w:rsidR="007B265B" w:rsidRDefault="007B2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0280"/>
    <w:multiLevelType w:val="hybridMultilevel"/>
    <w:tmpl w:val="D756BDF0"/>
    <w:lvl w:ilvl="0" w:tplc="26701FB0">
      <w:start w:val="1"/>
      <w:numFmt w:val="bullet"/>
      <w:pStyle w:val="List1"/>
      <w:lvlText w:val=""/>
      <w:lvlJc w:val="left"/>
      <w:pPr>
        <w:ind w:left="1495" w:hanging="360"/>
      </w:pPr>
      <w:rPr>
        <w:rFonts w:ascii="Symbol" w:hAnsi="Symbol" w:hint="default"/>
        <w:color w:val="009B63"/>
      </w:rPr>
    </w:lvl>
    <w:lvl w:ilvl="1" w:tplc="ACD8481C" w:tentative="1">
      <w:start w:val="1"/>
      <w:numFmt w:val="bullet"/>
      <w:lvlText w:val="•"/>
      <w:lvlJc w:val="left"/>
      <w:pPr>
        <w:tabs>
          <w:tab w:val="num" w:pos="2218"/>
        </w:tabs>
        <w:ind w:left="2218" w:hanging="360"/>
      </w:pPr>
      <w:rPr>
        <w:rFonts w:ascii="Arial" w:hAnsi="Arial" w:hint="default"/>
      </w:rPr>
    </w:lvl>
    <w:lvl w:ilvl="2" w:tplc="E85C9694" w:tentative="1">
      <w:start w:val="1"/>
      <w:numFmt w:val="bullet"/>
      <w:lvlText w:val="•"/>
      <w:lvlJc w:val="left"/>
      <w:pPr>
        <w:tabs>
          <w:tab w:val="num" w:pos="2938"/>
        </w:tabs>
        <w:ind w:left="2938" w:hanging="360"/>
      </w:pPr>
      <w:rPr>
        <w:rFonts w:ascii="Arial" w:hAnsi="Arial" w:hint="default"/>
      </w:rPr>
    </w:lvl>
    <w:lvl w:ilvl="3" w:tplc="4A5E87AC" w:tentative="1">
      <w:start w:val="1"/>
      <w:numFmt w:val="bullet"/>
      <w:lvlText w:val="•"/>
      <w:lvlJc w:val="left"/>
      <w:pPr>
        <w:tabs>
          <w:tab w:val="num" w:pos="3658"/>
        </w:tabs>
        <w:ind w:left="3658" w:hanging="360"/>
      </w:pPr>
      <w:rPr>
        <w:rFonts w:ascii="Arial" w:hAnsi="Arial" w:hint="default"/>
      </w:rPr>
    </w:lvl>
    <w:lvl w:ilvl="4" w:tplc="75E41C8C" w:tentative="1">
      <w:start w:val="1"/>
      <w:numFmt w:val="bullet"/>
      <w:lvlText w:val="•"/>
      <w:lvlJc w:val="left"/>
      <w:pPr>
        <w:tabs>
          <w:tab w:val="num" w:pos="4378"/>
        </w:tabs>
        <w:ind w:left="4378" w:hanging="360"/>
      </w:pPr>
      <w:rPr>
        <w:rFonts w:ascii="Arial" w:hAnsi="Arial" w:hint="default"/>
      </w:rPr>
    </w:lvl>
    <w:lvl w:ilvl="5" w:tplc="80BC1F06" w:tentative="1">
      <w:start w:val="1"/>
      <w:numFmt w:val="bullet"/>
      <w:lvlText w:val="•"/>
      <w:lvlJc w:val="left"/>
      <w:pPr>
        <w:tabs>
          <w:tab w:val="num" w:pos="5098"/>
        </w:tabs>
        <w:ind w:left="5098" w:hanging="360"/>
      </w:pPr>
      <w:rPr>
        <w:rFonts w:ascii="Arial" w:hAnsi="Arial" w:hint="default"/>
      </w:rPr>
    </w:lvl>
    <w:lvl w:ilvl="6" w:tplc="6C0EAFC4" w:tentative="1">
      <w:start w:val="1"/>
      <w:numFmt w:val="bullet"/>
      <w:lvlText w:val="•"/>
      <w:lvlJc w:val="left"/>
      <w:pPr>
        <w:tabs>
          <w:tab w:val="num" w:pos="5818"/>
        </w:tabs>
        <w:ind w:left="5818" w:hanging="360"/>
      </w:pPr>
      <w:rPr>
        <w:rFonts w:ascii="Arial" w:hAnsi="Arial" w:hint="default"/>
      </w:rPr>
    </w:lvl>
    <w:lvl w:ilvl="7" w:tplc="64BAA4A0" w:tentative="1">
      <w:start w:val="1"/>
      <w:numFmt w:val="bullet"/>
      <w:lvlText w:val="•"/>
      <w:lvlJc w:val="left"/>
      <w:pPr>
        <w:tabs>
          <w:tab w:val="num" w:pos="6538"/>
        </w:tabs>
        <w:ind w:left="6538" w:hanging="360"/>
      </w:pPr>
      <w:rPr>
        <w:rFonts w:ascii="Arial" w:hAnsi="Arial" w:hint="default"/>
      </w:rPr>
    </w:lvl>
    <w:lvl w:ilvl="8" w:tplc="1F6E2136" w:tentative="1">
      <w:start w:val="1"/>
      <w:numFmt w:val="bullet"/>
      <w:lvlText w:val="•"/>
      <w:lvlJc w:val="left"/>
      <w:pPr>
        <w:tabs>
          <w:tab w:val="num" w:pos="7258"/>
        </w:tabs>
        <w:ind w:left="7258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B"/>
    <w:rsid w:val="000231D0"/>
    <w:rsid w:val="00044B8E"/>
    <w:rsid w:val="00071511"/>
    <w:rsid w:val="000809A0"/>
    <w:rsid w:val="00106E04"/>
    <w:rsid w:val="001130BD"/>
    <w:rsid w:val="00135F2E"/>
    <w:rsid w:val="0014619D"/>
    <w:rsid w:val="00174016"/>
    <w:rsid w:val="00194AA3"/>
    <w:rsid w:val="00204651"/>
    <w:rsid w:val="00233BFF"/>
    <w:rsid w:val="00295E80"/>
    <w:rsid w:val="002A202F"/>
    <w:rsid w:val="002A27E2"/>
    <w:rsid w:val="00307B7C"/>
    <w:rsid w:val="00333711"/>
    <w:rsid w:val="00354E10"/>
    <w:rsid w:val="003608F8"/>
    <w:rsid w:val="0039303D"/>
    <w:rsid w:val="00393FFC"/>
    <w:rsid w:val="003B7A72"/>
    <w:rsid w:val="003D561F"/>
    <w:rsid w:val="003E306D"/>
    <w:rsid w:val="004042A2"/>
    <w:rsid w:val="00442F38"/>
    <w:rsid w:val="004759D1"/>
    <w:rsid w:val="004C3189"/>
    <w:rsid w:val="00510CB3"/>
    <w:rsid w:val="00544B04"/>
    <w:rsid w:val="00585BDE"/>
    <w:rsid w:val="005A0628"/>
    <w:rsid w:val="005B3387"/>
    <w:rsid w:val="005D4AB4"/>
    <w:rsid w:val="00683E13"/>
    <w:rsid w:val="006E0D49"/>
    <w:rsid w:val="006E163D"/>
    <w:rsid w:val="00717C6A"/>
    <w:rsid w:val="007377D9"/>
    <w:rsid w:val="007534BD"/>
    <w:rsid w:val="00755BBE"/>
    <w:rsid w:val="00772D20"/>
    <w:rsid w:val="007B265B"/>
    <w:rsid w:val="007C3336"/>
    <w:rsid w:val="007D1316"/>
    <w:rsid w:val="00816FEC"/>
    <w:rsid w:val="00830772"/>
    <w:rsid w:val="0083120D"/>
    <w:rsid w:val="00862C06"/>
    <w:rsid w:val="0086469B"/>
    <w:rsid w:val="00881653"/>
    <w:rsid w:val="008921D0"/>
    <w:rsid w:val="00892F5F"/>
    <w:rsid w:val="008C3177"/>
    <w:rsid w:val="008D6109"/>
    <w:rsid w:val="008D650C"/>
    <w:rsid w:val="008F5498"/>
    <w:rsid w:val="009A15AF"/>
    <w:rsid w:val="009A2B9A"/>
    <w:rsid w:val="009B517C"/>
    <w:rsid w:val="009D2177"/>
    <w:rsid w:val="00A04718"/>
    <w:rsid w:val="00A061FB"/>
    <w:rsid w:val="00A178DF"/>
    <w:rsid w:val="00A45419"/>
    <w:rsid w:val="00A515A9"/>
    <w:rsid w:val="00AA56BF"/>
    <w:rsid w:val="00AE6FB3"/>
    <w:rsid w:val="00B5480E"/>
    <w:rsid w:val="00B75FB4"/>
    <w:rsid w:val="00B86023"/>
    <w:rsid w:val="00BA734D"/>
    <w:rsid w:val="00BC0661"/>
    <w:rsid w:val="00BF7B85"/>
    <w:rsid w:val="00C03C5B"/>
    <w:rsid w:val="00C52085"/>
    <w:rsid w:val="00C74C2B"/>
    <w:rsid w:val="00CB3A6D"/>
    <w:rsid w:val="00CB5D3C"/>
    <w:rsid w:val="00CD3919"/>
    <w:rsid w:val="00D0519F"/>
    <w:rsid w:val="00D07DD6"/>
    <w:rsid w:val="00D17131"/>
    <w:rsid w:val="00D3631C"/>
    <w:rsid w:val="00D850D0"/>
    <w:rsid w:val="00DB159C"/>
    <w:rsid w:val="00DC6A60"/>
    <w:rsid w:val="00DF1167"/>
    <w:rsid w:val="00E446B5"/>
    <w:rsid w:val="00EA6992"/>
    <w:rsid w:val="00ED07FF"/>
    <w:rsid w:val="00EE0BD8"/>
    <w:rsid w:val="00EE4388"/>
    <w:rsid w:val="00EF3E38"/>
    <w:rsid w:val="00F06864"/>
    <w:rsid w:val="00F318A8"/>
    <w:rsid w:val="00F51DCE"/>
    <w:rsid w:val="00F6575D"/>
    <w:rsid w:val="00F72888"/>
    <w:rsid w:val="00FA128F"/>
    <w:rsid w:val="00FA2F81"/>
    <w:rsid w:val="00FD31BB"/>
    <w:rsid w:val="00FD4033"/>
    <w:rsid w:val="00FE66EC"/>
    <w:rsid w:val="1230A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ADF4"/>
  <w15:chartTrackingRefBased/>
  <w15:docId w15:val="{ADAF620C-FC03-EE43-89A8-E36EED6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5B"/>
    <w:pPr>
      <w:adjustRightInd w:val="0"/>
      <w:snapToGrid w:val="0"/>
      <w:contextualSpacing/>
    </w:pPr>
    <w:rPr>
      <w:rFonts w:ascii="DIN-LIGHT" w:eastAsiaTheme="minorEastAsia" w:hAnsi="DIN-LIGHT"/>
      <w:color w:val="00323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5B"/>
  </w:style>
  <w:style w:type="paragraph" w:styleId="Footer">
    <w:name w:val="footer"/>
    <w:basedOn w:val="Normal"/>
    <w:link w:val="FooterChar"/>
    <w:uiPriority w:val="99"/>
    <w:unhideWhenUsed/>
    <w:rsid w:val="007B26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5B"/>
  </w:style>
  <w:style w:type="paragraph" w:styleId="NoSpacing">
    <w:name w:val="No Spacing"/>
    <w:link w:val="NoSpacingChar"/>
    <w:uiPriority w:val="1"/>
    <w:qFormat/>
    <w:rsid w:val="007B265B"/>
  </w:style>
  <w:style w:type="paragraph" w:customStyle="1" w:styleId="Titles">
    <w:name w:val="Titles"/>
    <w:basedOn w:val="Normal"/>
    <w:qFormat/>
    <w:rsid w:val="007B265B"/>
    <w:pPr>
      <w:jc w:val="center"/>
    </w:pPr>
    <w:rPr>
      <w:b/>
      <w:color w:val="FF7801"/>
      <w:sz w:val="44"/>
    </w:rPr>
  </w:style>
  <w:style w:type="paragraph" w:customStyle="1" w:styleId="Title02">
    <w:name w:val="Title02"/>
    <w:basedOn w:val="Normal"/>
    <w:qFormat/>
    <w:rsid w:val="007B265B"/>
    <w:pPr>
      <w:ind w:right="-568"/>
    </w:pPr>
    <w:rPr>
      <w:b/>
      <w:color w:val="009B63"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7B265B"/>
  </w:style>
  <w:style w:type="paragraph" w:customStyle="1" w:styleId="List1">
    <w:name w:val="List1"/>
    <w:basedOn w:val="Normal"/>
    <w:qFormat/>
    <w:rsid w:val="007B265B"/>
    <w:pPr>
      <w:numPr>
        <w:numId w:val="1"/>
      </w:numPr>
      <w:tabs>
        <w:tab w:val="num" w:pos="720"/>
      </w:tabs>
      <w:ind w:left="-142" w:hanging="425"/>
    </w:pPr>
    <w:rPr>
      <w:rFonts w:ascii="Avenir Book" w:hAnsi="Avenir Book"/>
      <w:sz w:val="32"/>
      <w:szCs w:val="32"/>
      <w:lang w:val="en-US"/>
    </w:rPr>
  </w:style>
  <w:style w:type="table" w:styleId="ListTable6Colorful-Accent6">
    <w:name w:val="List Table 6 Colorful Accent 6"/>
    <w:basedOn w:val="TableNormal"/>
    <w:uiPriority w:val="51"/>
    <w:rsid w:val="007B265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A15AF"/>
  </w:style>
  <w:style w:type="paragraph" w:styleId="NormalWeb">
    <w:name w:val="Normal (Web)"/>
    <w:basedOn w:val="Normal"/>
    <w:uiPriority w:val="99"/>
    <w:unhideWhenUsed/>
    <w:rsid w:val="00862C06"/>
    <w:pPr>
      <w:adjustRightInd/>
      <w:snapToGrid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862C0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469B"/>
    <w:pPr>
      <w:suppressAutoHyphens/>
      <w:autoSpaceDN w:val="0"/>
      <w:adjustRightInd/>
      <w:snapToGrid/>
    </w:pPr>
    <w:rPr>
      <w:rFonts w:ascii="Arial" w:eastAsia="MS PGothic" w:hAnsi="Arial" w:cs="Times New Roman"/>
      <w:b/>
      <w:caps/>
      <w:color w:val="037D64"/>
      <w:kern w:val="3"/>
      <w:sz w:val="8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6469B"/>
    <w:rPr>
      <w:rFonts w:ascii="Arial" w:eastAsia="MS PGothic" w:hAnsi="Arial" w:cs="Times New Roman"/>
      <w:b/>
      <w:caps/>
      <w:color w:val="037D64"/>
      <w:kern w:val="3"/>
      <w:sz w:val="80"/>
      <w:szCs w:val="56"/>
      <w:lang w:val="en-US"/>
    </w:rPr>
  </w:style>
  <w:style w:type="character" w:styleId="Emphasis">
    <w:name w:val="Emphasis"/>
    <w:basedOn w:val="DefaultParagraphFont"/>
    <w:uiPriority w:val="20"/>
    <w:qFormat/>
    <w:rsid w:val="0086469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A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303D"/>
    <w:rPr>
      <w:rFonts w:ascii="DIN-LIGHT" w:eastAsiaTheme="minorEastAsia" w:hAnsi="DIN-LIGHT"/>
      <w:color w:val="00323A"/>
    </w:rPr>
  </w:style>
  <w:style w:type="paragraph" w:styleId="ListParagraph">
    <w:name w:val="List Paragraph"/>
    <w:basedOn w:val="Normal"/>
    <w:uiPriority w:val="34"/>
    <w:qFormat/>
    <w:rsid w:val="00393F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7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FB4"/>
    <w:rPr>
      <w:rFonts w:ascii="DIN-LIGHT" w:eastAsiaTheme="minorEastAsia" w:hAnsi="DIN-LIGHT"/>
      <w:color w:val="00323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B4"/>
    <w:rPr>
      <w:rFonts w:ascii="DIN-LIGHT" w:eastAsiaTheme="minorEastAsia" w:hAnsi="DIN-LIGHT"/>
      <w:b/>
      <w:bCs/>
      <w:color w:val="00323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11"/>
    <w:rPr>
      <w:rFonts w:ascii="Segoe UI" w:eastAsiaTheme="minorEastAsia" w:hAnsi="Segoe UI" w:cs="Segoe UI"/>
      <w:color w:val="00323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16dec-3198-4375-9f02-489cac5f3526" xsi:nil="true"/>
    <lcf76f155ced4ddcb4097134ff3c332f xmlns="dcdd3d15-175a-40b9-830b-9a6a2434ebb4">
      <Terms xmlns="http://schemas.microsoft.com/office/infopath/2007/PartnerControls"/>
    </lcf76f155ced4ddcb4097134ff3c332f>
    <MediaLengthInSeconds xmlns="dcdd3d15-175a-40b9-830b-9a6a2434ebb4" xsi:nil="true"/>
    <SharedWithUsers xmlns="36516dec-3198-4375-9f02-489cac5f352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54B148579224EB43A724207951202" ma:contentTypeVersion="16" ma:contentTypeDescription="Create a new document." ma:contentTypeScope="" ma:versionID="f4b50eaf7df904b793551895607d1788">
  <xsd:schema xmlns:xsd="http://www.w3.org/2001/XMLSchema" xmlns:xs="http://www.w3.org/2001/XMLSchema" xmlns:p="http://schemas.microsoft.com/office/2006/metadata/properties" xmlns:ns2="dcdd3d15-175a-40b9-830b-9a6a2434ebb4" xmlns:ns3="36516dec-3198-4375-9f02-489cac5f3526" targetNamespace="http://schemas.microsoft.com/office/2006/metadata/properties" ma:root="true" ma:fieldsID="962850d5ecebf254ece274ace42ba48f" ns2:_="" ns3:_="">
    <xsd:import namespace="dcdd3d15-175a-40b9-830b-9a6a2434ebb4"/>
    <xsd:import namespace="36516dec-3198-4375-9f02-489cac5f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d3d15-175a-40b9-830b-9a6a2434e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987254-778e-42bb-8dd0-dd794b074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6dec-3198-4375-9f02-489cac5f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f8dc55-5d72-45df-bf45-4d37aad0c540}" ma:internalName="TaxCatchAll" ma:showField="CatchAllData" ma:web="36516dec-3198-4375-9f02-489cac5f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6982A-CBD9-4B39-8762-68C7567575D6}">
  <ds:schemaRefs>
    <ds:schemaRef ds:uri="http://schemas.microsoft.com/office/2006/metadata/properties"/>
    <ds:schemaRef ds:uri="http://schemas.microsoft.com/office/infopath/2007/PartnerControls"/>
    <ds:schemaRef ds:uri="36516dec-3198-4375-9f02-489cac5f3526"/>
    <ds:schemaRef ds:uri="dcdd3d15-175a-40b9-830b-9a6a2434ebb4"/>
  </ds:schemaRefs>
</ds:datastoreItem>
</file>

<file path=customXml/itemProps2.xml><?xml version="1.0" encoding="utf-8"?>
<ds:datastoreItem xmlns:ds="http://schemas.openxmlformats.org/officeDocument/2006/customXml" ds:itemID="{07330E5E-6984-40AE-BE99-9FDEF07AD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7CFC-E1B7-462C-BADD-5743BC91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d3d15-175a-40b9-830b-9a6a2434ebb4"/>
    <ds:schemaRef ds:uri="36516dec-3198-4375-9f02-489cac5f3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dcterms:created xsi:type="dcterms:W3CDTF">2022-09-19T12:52:00Z</dcterms:created>
  <dcterms:modified xsi:type="dcterms:W3CDTF">2022-09-20T09:13:00Z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0x0101006FA54B148579224EB43A724207951202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