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1E5" w:rsidRPr="006831D8" w:rsidRDefault="004D41E5" w:rsidP="004D41E5">
      <w:pPr>
        <w:spacing w:line="288" w:lineRule="auto"/>
        <w:ind w:left="0"/>
        <w:rPr>
          <w:rFonts w:ascii="Times New Roman" w:eastAsia="Calibri" w:hAnsi="Times New Roman" w:cs="Times New Roman"/>
          <w:b/>
          <w:color w:val="000000"/>
        </w:rPr>
      </w:pPr>
    </w:p>
    <w:p w:rsidR="00925B5E" w:rsidRPr="000D1B4F" w:rsidRDefault="004D41E5" w:rsidP="004D41E5">
      <w:pPr>
        <w:tabs>
          <w:tab w:val="left" w:pos="630"/>
        </w:tabs>
        <w:spacing w:line="288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</w:pPr>
      <w:r w:rsidRPr="000D1B4F">
        <w:rPr>
          <w:rFonts w:ascii="Times New Roman" w:eastAsia="Calibri" w:hAnsi="Times New Roman" w:cs="Times New Roman"/>
          <w:b/>
          <w:i/>
          <w:color w:val="000000"/>
          <w:sz w:val="16"/>
          <w:szCs w:val="16"/>
        </w:rPr>
        <w:t xml:space="preserve">ДИНАМИКА И ТЕНДЕНЦИИ НА </w:t>
      </w:r>
      <w:r w:rsidR="00711DBE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>ИЗНОСА</w:t>
      </w:r>
      <w:r w:rsidR="00FC203E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>/</w:t>
      </w:r>
      <w:r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>ИЗПРАЩАНЕТО</w:t>
      </w:r>
      <w:r w:rsidR="00FC203E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 И ВНОСА/</w:t>
      </w:r>
      <w:r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ПРИСТИГАНЕТО НА ДЪРВА ЗА ГОРЕНЕ И НЕОБРАБОТЕН ДЪРВЕН МАТЕРИАЛ ПО КОДОВЕ ОТ 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КОМБИНИРАНАТА НОМЕНКЛАТУРА 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(</w:t>
      </w:r>
      <w:r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>КН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)</w:t>
      </w:r>
      <w:r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 НА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 xml:space="preserve"> 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НАЦИОНАЛНИЯ СТАТИСТИЧЕСКИ ИНСТИТУТ 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(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 НСИ</w:t>
      </w:r>
      <w:r w:rsidR="0037725A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 xml:space="preserve">) </w:t>
      </w:r>
      <w:r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 xml:space="preserve">ОБЩО ПО ДВАТА КАНАЛА </w:t>
      </w:r>
      <w:r w:rsidR="00140B2B"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>-</w:t>
      </w:r>
      <w:r w:rsidRPr="000D1B4F"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</w:rPr>
        <w:t>ИНТРАСТАТ И ЕКСТРАСТАТ ЗА ПЕРИОДА ОТ 2008 Г. ДО 2023 Г.</w:t>
      </w:r>
    </w:p>
    <w:p w:rsidR="00925B5E" w:rsidRPr="00A41160" w:rsidRDefault="00925B5E" w:rsidP="00346213">
      <w:pPr>
        <w:tabs>
          <w:tab w:val="left" w:pos="567"/>
        </w:tabs>
        <w:spacing w:line="288" w:lineRule="auto"/>
        <w:ind w:left="0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932967" w:rsidRPr="00A41160" w:rsidRDefault="00D33985" w:rsidP="00121899">
      <w:pPr>
        <w:tabs>
          <w:tab w:val="left" w:pos="567"/>
        </w:tabs>
        <w:spacing w:line="302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На база предоставени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>данни от Националния статистически институт (НСИ)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 е направен анализ за динамиката и тенденциите на износа</w:t>
      </w:r>
      <w:r w:rsidR="00FC203E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изпращането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 и вноса</w:t>
      </w:r>
      <w:r w:rsidR="00FC203E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пристигането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 на дървени материали</w:t>
      </w:r>
      <w:r w:rsidR="00140B2B" w:rsidRPr="00A41160">
        <w:rPr>
          <w:rFonts w:ascii="Times New Roman" w:eastAsia="Calibri" w:hAnsi="Times New Roman" w:cs="Times New Roman"/>
          <w:sz w:val="24"/>
          <w:szCs w:val="24"/>
        </w:rPr>
        <w:t>, който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 обхваща периода от 2008 г. </w:t>
      </w:r>
      <w:r w:rsidRPr="00A41160">
        <w:rPr>
          <w:rFonts w:ascii="Times New Roman" w:eastAsia="Calibri" w:hAnsi="Times New Roman" w:cs="Times New Roman"/>
          <w:sz w:val="24"/>
          <w:szCs w:val="24"/>
        </w:rPr>
        <w:t>до 2023 г. Данните</w:t>
      </w:r>
      <w:r w:rsidR="004D41E5" w:rsidRPr="00A41160">
        <w:rPr>
          <w:rFonts w:ascii="Times New Roman" w:eastAsia="Calibri" w:hAnsi="Times New Roman" w:cs="Times New Roman"/>
          <w:sz w:val="24"/>
          <w:szCs w:val="24"/>
        </w:rPr>
        <w:t xml:space="preserve"> са 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представени в графичен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>вид, съответно за изнесените</w:t>
      </w:r>
      <w:r w:rsidR="00FC203E">
        <w:rPr>
          <w:rFonts w:ascii="Times New Roman" w:eastAsia="Calibri" w:hAnsi="Times New Roman" w:cs="Times New Roman"/>
          <w:sz w:val="24"/>
          <w:szCs w:val="24"/>
        </w:rPr>
        <w:t>/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>изпратените и внесените</w:t>
      </w:r>
      <w:r w:rsidR="00FC203E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пристигналите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количества дървени материали общо по </w:t>
      </w:r>
      <w:r w:rsidR="00925B5E" w:rsidRPr="00A41160">
        <w:rPr>
          <w:rFonts w:ascii="Times New Roman" w:eastAsia="Calibri" w:hAnsi="Times New Roman" w:cs="Times New Roman"/>
          <w:b/>
          <w:sz w:val="24"/>
          <w:szCs w:val="24"/>
        </w:rPr>
        <w:t>Раздел 44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 „Д</w:t>
      </w:r>
      <w:r w:rsidR="00925B5E" w:rsidRPr="00A41160">
        <w:rPr>
          <w:rFonts w:ascii="Times New Roman" w:eastAsia="Calibri" w:hAnsi="Times New Roman" w:cs="Times New Roman"/>
          <w:i/>
          <w:sz w:val="24"/>
          <w:szCs w:val="24"/>
        </w:rPr>
        <w:t>ървен материал и изделия от дървен материал</w:t>
      </w:r>
      <w:r w:rsidRPr="00A41160">
        <w:rPr>
          <w:rFonts w:ascii="Times New Roman" w:eastAsia="Calibri" w:hAnsi="Times New Roman" w:cs="Times New Roman"/>
          <w:i/>
          <w:sz w:val="24"/>
          <w:szCs w:val="24"/>
        </w:rPr>
        <w:t>….</w:t>
      </w:r>
      <w:r w:rsidR="00121899" w:rsidRPr="00A41160">
        <w:rPr>
          <w:rFonts w:ascii="Times New Roman" w:eastAsia="Calibri" w:hAnsi="Times New Roman" w:cs="Times New Roman"/>
          <w:i/>
          <w:sz w:val="24"/>
          <w:szCs w:val="24"/>
        </w:rPr>
        <w:t>”</w:t>
      </w:r>
      <w:r w:rsidR="00925B5E" w:rsidRPr="00A4116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от Комбинираната номенклатура (КН) и e 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ориентиран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предимно върху </w:t>
      </w:r>
      <w:r w:rsidR="00FC203E">
        <w:rPr>
          <w:rFonts w:ascii="Times New Roman" w:eastAsia="Calibri" w:hAnsi="Times New Roman" w:cs="Times New Roman"/>
          <w:sz w:val="24"/>
          <w:szCs w:val="24"/>
        </w:rPr>
        <w:t>износа/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изпращането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FC203E">
        <w:rPr>
          <w:rFonts w:ascii="Times New Roman" w:eastAsia="Calibri" w:hAnsi="Times New Roman" w:cs="Times New Roman"/>
          <w:sz w:val="24"/>
          <w:szCs w:val="24"/>
        </w:rPr>
        <w:t>вноса/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пристигането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>на</w:t>
      </w:r>
      <w:r w:rsidR="00121899" w:rsidRPr="00A41160">
        <w:rPr>
          <w:rFonts w:ascii="Times New Roman" w:eastAsia="Calibri" w:hAnsi="Times New Roman" w:cs="Times New Roman"/>
          <w:sz w:val="24"/>
          <w:szCs w:val="24"/>
        </w:rPr>
        <w:t>: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5B5E" w:rsidRPr="00A411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дървата за горене</w:t>
      </w:r>
      <w:r w:rsidR="00925B5E" w:rsidRPr="00A4116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(код 4401)</w:t>
      </w:r>
      <w:r w:rsidR="00121899" w:rsidRPr="00A4116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4D41E5" w:rsidRPr="00A41160">
        <w:rPr>
          <w:rFonts w:ascii="Times New Roman" w:eastAsia="Calibri" w:hAnsi="Times New Roman" w:cs="Times New Roman"/>
          <w:sz w:val="24"/>
          <w:szCs w:val="24"/>
        </w:rPr>
        <w:t>и</w:t>
      </w:r>
      <w:r w:rsidRPr="00A41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25B5E" w:rsidRPr="00A411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необработен дървен материал </w:t>
      </w:r>
      <w:r w:rsidR="00925B5E" w:rsidRPr="00A411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925B5E" w:rsidRPr="00A4116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код 4403</w:t>
      </w:r>
      <w:r w:rsidR="00711DBE" w:rsidRPr="00A4116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и общо за двата кода </w:t>
      </w:r>
      <w:r w:rsidR="00925B5E" w:rsidRPr="00A41160">
        <w:rPr>
          <w:rFonts w:ascii="Times New Roman" w:eastAsia="Calibri" w:hAnsi="Times New Roman" w:cs="Times New Roman"/>
          <w:i/>
          <w:sz w:val="24"/>
          <w:szCs w:val="24"/>
        </w:rPr>
        <w:t xml:space="preserve">(код 4401+код 4403), 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>по двата канала</w:t>
      </w:r>
      <w:r w:rsidR="00FD1E72" w:rsidRPr="00A41160">
        <w:rPr>
          <w:rFonts w:ascii="Times New Roman" w:eastAsia="Calibri" w:hAnsi="Times New Roman" w:cs="Times New Roman"/>
          <w:sz w:val="24"/>
          <w:szCs w:val="24"/>
        </w:rPr>
        <w:t>: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25B5E" w:rsidRPr="00A41160">
        <w:rPr>
          <w:rFonts w:ascii="Times New Roman" w:eastAsia="Calibri" w:hAnsi="Times New Roman" w:cs="Times New Roman"/>
          <w:sz w:val="24"/>
          <w:szCs w:val="24"/>
        </w:rPr>
        <w:t>Интрастат</w:t>
      </w:r>
      <w:proofErr w:type="spellEnd"/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1E72" w:rsidRPr="00A41160">
        <w:rPr>
          <w:rFonts w:ascii="Times New Roman" w:eastAsia="Calibri" w:hAnsi="Times New Roman" w:cs="Times New Roman"/>
          <w:sz w:val="24"/>
          <w:szCs w:val="24"/>
        </w:rPr>
        <w:t>- вътрешно общностни сделки</w:t>
      </w:r>
      <w:r w:rsidR="00925B5E" w:rsidRPr="00A41160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1160">
        <w:rPr>
          <w:rFonts w:ascii="Times New Roman" w:eastAsia="Calibri" w:hAnsi="Times New Roman" w:cs="Times New Roman"/>
          <w:sz w:val="24"/>
          <w:szCs w:val="24"/>
        </w:rPr>
        <w:t>Екстрастат</w:t>
      </w:r>
      <w:proofErr w:type="spellEnd"/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1E72" w:rsidRPr="00A4116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сделки/дост</w:t>
      </w:r>
      <w:r w:rsidR="00FD1E72" w:rsidRPr="00A41160">
        <w:rPr>
          <w:rFonts w:ascii="Times New Roman" w:eastAsia="Calibri" w:hAnsi="Times New Roman" w:cs="Times New Roman"/>
          <w:sz w:val="24"/>
          <w:szCs w:val="24"/>
        </w:rPr>
        <w:t>авки към трети страни, извън ЕС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33985" w:rsidRPr="00A41160" w:rsidRDefault="00D33985" w:rsidP="00121899">
      <w:pPr>
        <w:tabs>
          <w:tab w:val="left" w:pos="567"/>
        </w:tabs>
        <w:spacing w:line="302" w:lineRule="auto"/>
        <w:ind w:left="0" w:firstLine="567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4D41E5" w:rsidRPr="00A41160" w:rsidRDefault="00346213" w:rsidP="00346213">
      <w:pPr>
        <w:tabs>
          <w:tab w:val="left" w:pos="567"/>
        </w:tabs>
        <w:spacing w:line="302" w:lineRule="auto"/>
        <w:ind w:left="0" w:firstLine="567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</w:t>
      </w:r>
      <w:r w:rsidR="00711DBE"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знос</w:t>
      </w:r>
      <w:r w:rsidR="00FD1E72"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/</w:t>
      </w:r>
      <w:r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изпращане на дърва за горене по код 4401, необработен дървен материал по код 4403 от КН и общо по двата кода </w:t>
      </w:r>
      <w:r w:rsidRPr="00A41160">
        <w:rPr>
          <w:rFonts w:ascii="Times New Roman" w:eastAsia="Calibri" w:hAnsi="Times New Roman" w:cs="Times New Roman"/>
          <w:b/>
          <w:i/>
          <w:sz w:val="24"/>
          <w:szCs w:val="24"/>
        </w:rPr>
        <w:t>(код 4401+код 4403)</w:t>
      </w:r>
      <w:r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A41160">
        <w:rPr>
          <w:rFonts w:ascii="Times New Roman" w:hAnsi="Times New Roman" w:cs="Times New Roman"/>
          <w:b/>
          <w:bCs/>
          <w:i/>
          <w:sz w:val="24"/>
          <w:szCs w:val="24"/>
        </w:rPr>
        <w:t>по години за периода от 2008 г. до 2023 г.</w:t>
      </w:r>
    </w:p>
    <w:p w:rsidR="00FF7486" w:rsidRPr="00A41160" w:rsidRDefault="00356788" w:rsidP="00346213">
      <w:pPr>
        <w:tabs>
          <w:tab w:val="left" w:pos="567"/>
        </w:tabs>
        <w:spacing w:line="302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Проследявайки динамиката на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изнесените</w:t>
      </w:r>
      <w:r w:rsidR="00FD1E72" w:rsidRPr="00A41160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изпратените 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количества дървени материали за периода </w:t>
      </w:r>
      <w:r w:rsidR="00711DBE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 2008 г. до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2014 г., се констатира </w:t>
      </w:r>
      <w:r w:rsidR="00121899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нарастваща тенденция </w:t>
      </w:r>
      <w:r w:rsidR="00FD1E72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121899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="00FD1E72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двата кода: </w:t>
      </w:r>
      <w:r w:rsidR="00121899" w:rsidRPr="00A4116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код 4401</w:t>
      </w:r>
      <w:r w:rsidR="00121899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121899" w:rsidRPr="00A4116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код 4403</w:t>
      </w:r>
      <w:r w:rsidR="00121899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D1E72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съответно</w:t>
      </w:r>
      <w:r w:rsidR="00121899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общо за двата кода</w:t>
      </w:r>
      <w:r w:rsidR="00346213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FF7486" w:rsidRPr="00A41160">
        <w:rPr>
          <w:rFonts w:ascii="Times New Roman" w:hAnsi="Times New Roman" w:cs="Times New Roman"/>
          <w:noProof/>
          <w:sz w:val="18"/>
          <w:szCs w:val="18"/>
          <w:lang w:eastAsia="bg-BG"/>
        </w:rPr>
        <w:drawing>
          <wp:inline distT="0" distB="0" distL="0" distR="0" wp14:anchorId="2FEF78C6" wp14:editId="10F9087E">
            <wp:extent cx="7332453" cy="2640330"/>
            <wp:effectExtent l="0" t="0" r="1905" b="762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F7486" w:rsidRPr="0037725A" w:rsidRDefault="00FF7486" w:rsidP="008A41C8">
      <w:pPr>
        <w:ind w:left="142" w:right="-142" w:firstLine="1145"/>
        <w:rPr>
          <w:rFonts w:ascii="Times New Roman" w:hAnsi="Times New Roman" w:cs="Times New Roman"/>
          <w:b/>
          <w:bCs/>
          <w:i/>
          <w:sz w:val="18"/>
          <w:szCs w:val="18"/>
          <w:lang w:val="en-US"/>
        </w:rPr>
      </w:pPr>
      <w:r w:rsidRPr="00A41160">
        <w:rPr>
          <w:rFonts w:ascii="Times New Roman" w:hAnsi="Times New Roman" w:cs="Times New Roman"/>
          <w:b/>
          <w:i/>
          <w:sz w:val="18"/>
          <w:szCs w:val="18"/>
        </w:rPr>
        <w:t xml:space="preserve">фиг. 1.  </w:t>
      </w:r>
      <w:r w:rsidRPr="00A41160">
        <w:rPr>
          <w:rFonts w:ascii="Times New Roman" w:hAnsi="Times New Roman" w:cs="Times New Roman"/>
          <w:b/>
          <w:bCs/>
          <w:i/>
          <w:sz w:val="18"/>
          <w:szCs w:val="18"/>
        </w:rPr>
        <w:t>Динамика на износа</w:t>
      </w:r>
      <w:r w:rsidR="00FD1E72" w:rsidRPr="00A41160">
        <w:rPr>
          <w:rFonts w:ascii="Times New Roman" w:hAnsi="Times New Roman" w:cs="Times New Roman"/>
          <w:b/>
          <w:bCs/>
          <w:i/>
          <w:sz w:val="18"/>
          <w:szCs w:val="18"/>
        </w:rPr>
        <w:t>/</w:t>
      </w:r>
      <w:r w:rsidRPr="00A41160">
        <w:rPr>
          <w:rFonts w:ascii="Times New Roman" w:hAnsi="Times New Roman" w:cs="Times New Roman"/>
          <w:b/>
          <w:bCs/>
          <w:i/>
          <w:sz w:val="18"/>
          <w:szCs w:val="18"/>
        </w:rPr>
        <w:t>изпращането на дървени материали по код 4401, код 4403 и общо за двата кода в тон по години за периода от 2008 г. до 2023 г. включително</w:t>
      </w:r>
      <w:r w:rsidR="0037725A">
        <w:rPr>
          <w:rFonts w:ascii="Times New Roman" w:hAnsi="Times New Roman" w:cs="Times New Roman"/>
          <w:b/>
          <w:bCs/>
          <w:i/>
          <w:sz w:val="18"/>
          <w:szCs w:val="18"/>
          <w:lang w:val="en-US"/>
        </w:rPr>
        <w:t>.</w:t>
      </w:r>
    </w:p>
    <w:p w:rsidR="00FD1E72" w:rsidRPr="00A41160" w:rsidRDefault="00FD1E72" w:rsidP="008A41C8">
      <w:pPr>
        <w:ind w:left="142" w:right="-142" w:firstLine="1145"/>
        <w:rPr>
          <w:rFonts w:cstheme="minorHAnsi"/>
          <w:b/>
          <w:bCs/>
          <w:i/>
          <w:sz w:val="18"/>
          <w:szCs w:val="18"/>
        </w:rPr>
      </w:pPr>
    </w:p>
    <w:p w:rsidR="00FF7486" w:rsidRPr="00A41160" w:rsidRDefault="00356788" w:rsidP="00FF7486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Сравнявайки количествата на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изнесените</w:t>
      </w:r>
      <w:r w:rsidR="00FD1E72" w:rsidRPr="00A41160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изпратените </w:t>
      </w:r>
      <w:r w:rsidR="00BE5DCE" w:rsidRPr="00A41160">
        <w:rPr>
          <w:rFonts w:ascii="Times New Roman" w:hAnsi="Times New Roman" w:cs="Times New Roman"/>
          <w:sz w:val="24"/>
          <w:szCs w:val="24"/>
        </w:rPr>
        <w:t>дървени материали през 2014 г.</w:t>
      </w:r>
      <w:r w:rsidR="00FD1E72" w:rsidRPr="00A41160">
        <w:rPr>
          <w:rFonts w:ascii="Times New Roman" w:hAnsi="Times New Roman" w:cs="Times New Roman"/>
          <w:sz w:val="24"/>
          <w:szCs w:val="24"/>
        </w:rPr>
        <w:t xml:space="preserve"> с</w:t>
      </w:r>
      <w:r w:rsidR="00FF7486" w:rsidRPr="00A41160">
        <w:rPr>
          <w:rFonts w:ascii="Times New Roman" w:hAnsi="Times New Roman" w:cs="Times New Roman"/>
          <w:sz w:val="24"/>
          <w:szCs w:val="24"/>
        </w:rPr>
        <w:t xml:space="preserve"> количествата </w:t>
      </w:r>
      <w:r w:rsidR="00121899" w:rsidRPr="00A41160">
        <w:rPr>
          <w:rFonts w:ascii="Times New Roman" w:hAnsi="Times New Roman" w:cs="Times New Roman"/>
          <w:sz w:val="24"/>
          <w:szCs w:val="24"/>
        </w:rPr>
        <w:t>за</w:t>
      </w:r>
      <w:r w:rsidR="00FF7486" w:rsidRPr="00A41160">
        <w:rPr>
          <w:rFonts w:ascii="Times New Roman" w:hAnsi="Times New Roman" w:cs="Times New Roman"/>
          <w:sz w:val="24"/>
          <w:szCs w:val="24"/>
        </w:rPr>
        <w:t xml:space="preserve"> 2</w:t>
      </w:r>
      <w:r w:rsidR="00FD1E72" w:rsidRPr="00A41160">
        <w:rPr>
          <w:rFonts w:ascii="Times New Roman" w:hAnsi="Times New Roman" w:cs="Times New Roman"/>
          <w:sz w:val="24"/>
          <w:szCs w:val="24"/>
        </w:rPr>
        <w:t>008 г., се констатира следното:</w:t>
      </w:r>
    </w:p>
    <w:p w:rsidR="00FF7486" w:rsidRPr="00A41160" w:rsidRDefault="00FF7486" w:rsidP="00FF7486">
      <w:pPr>
        <w:spacing w:line="302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41160">
        <w:rPr>
          <w:rFonts w:ascii="Times New Roman" w:hAnsi="Times New Roman" w:cs="Times New Roman"/>
          <w:sz w:val="24"/>
          <w:szCs w:val="24"/>
        </w:rPr>
        <w:t xml:space="preserve">1.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Износът</w:t>
      </w:r>
      <w:r w:rsidR="006F7362" w:rsidRPr="00A41160">
        <w:rPr>
          <w:rFonts w:ascii="Times New Roman" w:eastAsia="Calibri" w:hAnsi="Times New Roman" w:cs="Times New Roman"/>
          <w:sz w:val="24"/>
          <w:szCs w:val="24"/>
        </w:rPr>
        <w:t>/</w:t>
      </w:r>
      <w:r w:rsidRPr="00A41160">
        <w:rPr>
          <w:rFonts w:ascii="Times New Roman" w:eastAsia="Calibri" w:hAnsi="Times New Roman" w:cs="Times New Roman"/>
          <w:sz w:val="24"/>
          <w:szCs w:val="24"/>
        </w:rPr>
        <w:t>изпращането на дървени материали общо по двата кода</w:t>
      </w:r>
      <w:r w:rsidR="00356788" w:rsidRPr="00A4116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56788" w:rsidRPr="00A41160">
        <w:rPr>
          <w:rFonts w:ascii="Times New Roman" w:eastAsia="Calibri" w:hAnsi="Times New Roman" w:cs="Times New Roman"/>
          <w:i/>
          <w:sz w:val="24"/>
          <w:szCs w:val="24"/>
        </w:rPr>
        <w:t>4401</w:t>
      </w:r>
      <w:r w:rsidR="00356788" w:rsidRPr="00A41160">
        <w:rPr>
          <w:rFonts w:ascii="Times New Roman" w:eastAsia="Calibri" w:hAnsi="Times New Roman" w:cs="Times New Roman"/>
          <w:sz w:val="24"/>
          <w:szCs w:val="24"/>
        </w:rPr>
        <w:t xml:space="preserve"> +</w:t>
      </w:r>
      <w:r w:rsidR="00356788" w:rsidRPr="00A41160">
        <w:rPr>
          <w:rFonts w:ascii="Times New Roman" w:eastAsia="Calibri" w:hAnsi="Times New Roman" w:cs="Times New Roman"/>
          <w:i/>
          <w:sz w:val="24"/>
          <w:szCs w:val="24"/>
        </w:rPr>
        <w:t xml:space="preserve"> 4403</w:t>
      </w:r>
      <w:r w:rsidR="00356788" w:rsidRPr="00A41160">
        <w:rPr>
          <w:rFonts w:ascii="Times New Roman" w:eastAsia="Calibri" w:hAnsi="Times New Roman" w:cs="Times New Roman"/>
          <w:sz w:val="24"/>
          <w:szCs w:val="24"/>
        </w:rPr>
        <w:t>)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 през 2014 г. нараства над 3,41 пъти спрямо 2008 г.</w:t>
      </w:r>
      <w:r w:rsidR="00BE5DCE" w:rsidRPr="00A4116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F7486" w:rsidRPr="00A41160" w:rsidRDefault="00FF7486" w:rsidP="00FF7486">
      <w:pPr>
        <w:spacing w:line="302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41160">
        <w:rPr>
          <w:rFonts w:ascii="Times New Roman" w:eastAsia="Calibri" w:hAnsi="Times New Roman" w:cs="Times New Roman"/>
          <w:sz w:val="24"/>
          <w:szCs w:val="24"/>
        </w:rPr>
        <w:t>2.</w:t>
      </w:r>
      <w:r w:rsidRPr="00A411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Износът</w:t>
      </w:r>
      <w:r w:rsidR="00285237" w:rsidRPr="00A41160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изпращането </w:t>
      </w:r>
      <w:r w:rsidRPr="00A41160">
        <w:rPr>
          <w:rFonts w:ascii="Times New Roman" w:eastAsia="Calibri" w:hAnsi="Times New Roman" w:cs="Times New Roman"/>
          <w:sz w:val="24"/>
          <w:szCs w:val="24"/>
        </w:rPr>
        <w:t>на дървата за горене</w:t>
      </w:r>
      <w:r w:rsidR="00F65A1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65A15" w:rsidRPr="00711DBE">
        <w:rPr>
          <w:rFonts w:ascii="Times New Roman" w:eastAsia="Calibri" w:hAnsi="Times New Roman" w:cs="Times New Roman"/>
          <w:i/>
          <w:sz w:val="24"/>
          <w:szCs w:val="24"/>
        </w:rPr>
        <w:t>код 4401</w:t>
      </w:r>
      <w:r w:rsidR="00F65A15" w:rsidRPr="00F062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през 2014 г. нараства </w:t>
      </w:r>
      <w:r w:rsidR="00285237" w:rsidRPr="00A41160">
        <w:rPr>
          <w:rFonts w:ascii="Times New Roman" w:eastAsia="Calibri" w:hAnsi="Times New Roman" w:cs="Times New Roman"/>
          <w:sz w:val="24"/>
          <w:szCs w:val="24"/>
        </w:rPr>
        <w:t xml:space="preserve">с над  611 хил. тона спрямо 2008 г. или </w:t>
      </w:r>
      <w:r w:rsidRPr="00A41160">
        <w:rPr>
          <w:rFonts w:ascii="Times New Roman" w:eastAsia="Calibri" w:hAnsi="Times New Roman" w:cs="Times New Roman"/>
          <w:sz w:val="24"/>
          <w:szCs w:val="24"/>
        </w:rPr>
        <w:t>над 6,60 пъти</w:t>
      </w:r>
      <w:r w:rsidR="00BE5DCE" w:rsidRPr="00A4116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F7486" w:rsidRPr="00A41160" w:rsidRDefault="00FF7486" w:rsidP="00271D8E">
      <w:pPr>
        <w:spacing w:line="302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>Износът</w:t>
      </w:r>
      <w:r w:rsidR="00285237" w:rsidRPr="00A41160">
        <w:rPr>
          <w:rFonts w:ascii="Times New Roman" w:eastAsia="Calibri" w:hAnsi="Times New Roman" w:cs="Times New Roman"/>
          <w:sz w:val="24"/>
          <w:szCs w:val="24"/>
        </w:rPr>
        <w:t>/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изпращането 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11DBE" w:rsidRPr="00A41160">
        <w:rPr>
          <w:rFonts w:ascii="Times New Roman" w:eastAsia="Calibri" w:hAnsi="Times New Roman" w:cs="Times New Roman"/>
          <w:sz w:val="24"/>
          <w:szCs w:val="24"/>
        </w:rPr>
        <w:t xml:space="preserve">необработен 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дървен материал </w:t>
      </w:r>
      <w:r w:rsidR="00F65A15" w:rsidRPr="00711DBE">
        <w:rPr>
          <w:rFonts w:ascii="Times New Roman" w:eastAsia="Calibri" w:hAnsi="Times New Roman" w:cs="Times New Roman"/>
          <w:i/>
          <w:sz w:val="24"/>
          <w:szCs w:val="24"/>
        </w:rPr>
        <w:t>код 4403</w:t>
      </w:r>
      <w:r w:rsidR="00F65A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през 2014 г. нараства </w:t>
      </w:r>
      <w:r w:rsidR="00285237" w:rsidRPr="00A41160">
        <w:rPr>
          <w:rFonts w:ascii="Times New Roman" w:eastAsia="Calibri" w:hAnsi="Times New Roman" w:cs="Times New Roman"/>
          <w:sz w:val="24"/>
          <w:szCs w:val="24"/>
        </w:rPr>
        <w:t>с над 246 хил. тона спрямо 2008 г., което е близо двукратно увеличение</w:t>
      </w:r>
      <w:r w:rsidRPr="00A4116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F7486" w:rsidRPr="00F65A15" w:rsidRDefault="00340CC0" w:rsidP="00FF7486">
      <w:pPr>
        <w:spacing w:line="302" w:lineRule="auto"/>
        <w:ind w:left="0" w:firstLine="709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4116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</w:t>
      </w:r>
      <w:r w:rsidR="00FF7486" w:rsidRPr="00A41160">
        <w:rPr>
          <w:rFonts w:ascii="Times New Roman" w:eastAsia="Calibri" w:hAnsi="Times New Roman" w:cs="Times New Roman"/>
          <w:b/>
          <w:sz w:val="24"/>
          <w:szCs w:val="24"/>
        </w:rPr>
        <w:t>рез 2014</w:t>
      </w:r>
      <w:r w:rsidR="00711DBE" w:rsidRPr="00A41160">
        <w:rPr>
          <w:rFonts w:ascii="Times New Roman" w:eastAsia="Calibri" w:hAnsi="Times New Roman" w:cs="Times New Roman"/>
          <w:b/>
          <w:sz w:val="24"/>
          <w:szCs w:val="24"/>
        </w:rPr>
        <w:t xml:space="preserve"> г. е налице пик при изнесените</w:t>
      </w:r>
      <w:r w:rsidR="00285237" w:rsidRPr="00A41160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FF7486" w:rsidRPr="00A41160">
        <w:rPr>
          <w:rFonts w:ascii="Times New Roman" w:eastAsia="Calibri" w:hAnsi="Times New Roman" w:cs="Times New Roman"/>
          <w:b/>
          <w:sz w:val="24"/>
          <w:szCs w:val="24"/>
        </w:rPr>
        <w:t>изпратените количества дърва за горене</w:t>
      </w:r>
      <w:r w:rsidR="00285237" w:rsidRPr="00A411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  <w:lang w:val="en-US"/>
        </w:rPr>
        <w:t>(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</w:rPr>
        <w:t>код 4401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="00F65A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285237" w:rsidRPr="00A41160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r w:rsidR="00FF7486" w:rsidRPr="00A41160">
        <w:rPr>
          <w:rFonts w:ascii="Times New Roman" w:eastAsia="Calibri" w:hAnsi="Times New Roman" w:cs="Times New Roman"/>
          <w:b/>
          <w:sz w:val="24"/>
          <w:szCs w:val="24"/>
        </w:rPr>
        <w:t xml:space="preserve"> необработен дървен материал</w:t>
      </w:r>
      <w:r w:rsidR="00F65A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  <w:lang w:val="en-US"/>
        </w:rPr>
        <w:t>(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</w:rPr>
        <w:t>код 4403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="00F65A15" w:rsidRPr="00F062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7486" w:rsidRPr="00A41160">
        <w:rPr>
          <w:rFonts w:ascii="Times New Roman" w:eastAsia="Calibri" w:hAnsi="Times New Roman" w:cs="Times New Roman"/>
          <w:b/>
          <w:sz w:val="24"/>
          <w:szCs w:val="24"/>
        </w:rPr>
        <w:t>и общо</w:t>
      </w:r>
      <w:r w:rsidR="006B47FF" w:rsidRPr="00A41160"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="00FF7486" w:rsidRPr="00A41160">
        <w:rPr>
          <w:rFonts w:ascii="Times New Roman" w:eastAsia="Calibri" w:hAnsi="Times New Roman" w:cs="Times New Roman"/>
          <w:b/>
          <w:sz w:val="24"/>
          <w:szCs w:val="24"/>
        </w:rPr>
        <w:t xml:space="preserve"> количеството по двата кода</w:t>
      </w:r>
      <w:r w:rsidRPr="00A41160">
        <w:rPr>
          <w:rFonts w:ascii="Times New Roman" w:eastAsia="Calibri" w:hAnsi="Times New Roman" w:cs="Times New Roman"/>
          <w:b/>
          <w:sz w:val="24"/>
          <w:szCs w:val="24"/>
        </w:rPr>
        <w:t>, като н</w:t>
      </w:r>
      <w:r w:rsidR="00FF7486" w:rsidRPr="00A41160">
        <w:rPr>
          <w:rFonts w:ascii="Times New Roman" w:eastAsia="Calibri" w:hAnsi="Times New Roman" w:cs="Times New Roman"/>
          <w:b/>
          <w:sz w:val="24"/>
          <w:szCs w:val="24"/>
        </w:rPr>
        <w:t>ай-голямо увеличение е отчетено при дървата за горене.</w:t>
      </w:r>
      <w:r w:rsidR="00F65A1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FF7486" w:rsidRPr="00A41160" w:rsidRDefault="00EB584B" w:rsidP="008A41C8">
      <w:pPr>
        <w:tabs>
          <w:tab w:val="left" w:pos="426"/>
        </w:tabs>
        <w:spacing w:line="302" w:lineRule="auto"/>
        <w:ind w:left="0" w:right="-2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41160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A41160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6B47FF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тази връзка </w:t>
      </w:r>
      <w:r w:rsidR="00AF47E2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министърът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земеделието, храните и горите със </w:t>
      </w:r>
      <w:r w:rsidR="00121899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аповед</w:t>
      </w:r>
      <w:r w:rsidR="00BE5DCE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от м.</w:t>
      </w:r>
      <w:r w:rsidR="006B47FF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март </w:t>
      </w:r>
      <w:r w:rsidR="00BE5DCE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2015 г.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забранява за срок от три месеца </w:t>
      </w:r>
      <w:r w:rsidR="00546B85" w:rsidRPr="00FC203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износа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</w:t>
      </w:r>
      <w:r w:rsidR="00BE5DCE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дървени материали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 </w:t>
      </w:r>
      <w:r w:rsidR="00BE5DCE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определени 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кодове </w:t>
      </w:r>
      <w:r w:rsidR="00AF47E2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КН на ЕС</w:t>
      </w:r>
      <w:r w:rsidR="007B50D3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като през</w:t>
      </w:r>
      <w:r w:rsidR="00BE5DCE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м.</w:t>
      </w:r>
      <w:r w:rsidR="006B47FF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юни </w:t>
      </w:r>
      <w:r w:rsidR="00340CC0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забраната е удължена. </w:t>
      </w:r>
      <w:r w:rsidR="006B47FF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Тъй като тази за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брана е </w:t>
      </w:r>
      <w:r w:rsidR="00340CC0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="00546B85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нарушение на принципите на Договора за функциониране на Европейския съюз за свободно движение на стоки в рамките на съюза, както и на редица двустранни споразумения с трети страни за свобо</w:t>
      </w:r>
      <w:r w:rsidR="006B47FF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дна търговия, </w:t>
      </w:r>
      <w:r w:rsidR="00F07DB2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същата фактически  е отменена</w:t>
      </w:r>
      <w:r w:rsidR="00FC203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07DB2" w:rsidRPr="00A411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 приемането на </w:t>
      </w:r>
      <w:r w:rsidR="00FC203E" w:rsidRPr="00F062FE">
        <w:rPr>
          <w:rFonts w:ascii="Times New Roman" w:eastAsia="Calibri" w:hAnsi="Times New Roman" w:cs="Times New Roman"/>
          <w:sz w:val="24"/>
          <w:szCs w:val="24"/>
        </w:rPr>
        <w:t>Закона за изменение и допълнение на Закона за горите, като същия е  обнародван в Държавен вестник, бр. 60 от 7 август 2015 г.</w:t>
      </w:r>
    </w:p>
    <w:p w:rsidR="00340CC0" w:rsidRPr="00A41160" w:rsidRDefault="00F07DB2" w:rsidP="00340CC0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BE5DCE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фиг. 1 е видно, че </w:t>
      </w:r>
      <w:r w:rsidR="00BE5DCE" w:rsidRPr="00A411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="00FF7486" w:rsidRPr="00A411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периода</w:t>
      </w:r>
      <w:r w:rsidR="00AF47E2" w:rsidRPr="00A411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201</w:t>
      </w:r>
      <w:r w:rsidR="009600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AF47E2" w:rsidRPr="00A411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г. до </w:t>
      </w:r>
      <w:r w:rsidR="00FF7486" w:rsidRPr="00A411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2023 г. 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налице </w:t>
      </w:r>
      <w:r w:rsidR="00FF7486" w:rsidRPr="00A411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намаляващ тренд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личествата на изнесените/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изпратените дървени материали 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двата 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а –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4401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4403. </w:t>
      </w:r>
    </w:p>
    <w:p w:rsidR="00FF7486" w:rsidRPr="00A41160" w:rsidRDefault="00A45180" w:rsidP="00340CC0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ай-драстично е намалението </w:t>
      </w:r>
      <w:r w:rsidR="00F07DB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необработените дървени материали</w:t>
      </w:r>
      <w:r w:rsidR="00F65A1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F65A15" w:rsidRPr="00711DBE">
        <w:rPr>
          <w:rFonts w:ascii="Times New Roman" w:eastAsia="Calibri" w:hAnsi="Times New Roman" w:cs="Times New Roman"/>
          <w:i/>
          <w:sz w:val="24"/>
          <w:szCs w:val="24"/>
        </w:rPr>
        <w:t>код 4403</w:t>
      </w:r>
      <w:r w:rsidR="00FF7486" w:rsidRPr="00A4116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="00CB23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като още през 2015 г. </w:t>
      </w:r>
      <w:r w:rsidR="00F07DB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тяхното </w:t>
      </w:r>
      <w:r w:rsidR="00AF47E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</w:t>
      </w:r>
      <w:r w:rsidR="00F07DB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намалява </w:t>
      </w:r>
      <w:r w:rsidR="0013149A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близо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2,</w:t>
      </w:r>
      <w:r w:rsidR="0013149A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пъти спрямо отчетените пикове през 2014 г. Всяка следваща година изнесеното количество необработен дървен материал намалява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като </w:t>
      </w:r>
      <w:r w:rsidR="007B50D3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 2023 г. </w:t>
      </w:r>
      <w:r w:rsidR="00AF47E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намалението</w:t>
      </w:r>
      <w:r w:rsidR="0013149A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="00AF47E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149A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над 482 хил. тона, или </w:t>
      </w:r>
      <w:r w:rsidR="0099011B">
        <w:rPr>
          <w:rFonts w:ascii="Times New Roman" w:eastAsia="Times New Roman" w:hAnsi="Times New Roman" w:cs="Times New Roman"/>
          <w:color w:val="000000"/>
          <w:sz w:val="24"/>
          <w:szCs w:val="24"/>
        </w:rPr>
        <w:t>близо 44 пъти</w:t>
      </w:r>
      <w:r w:rsidR="0013149A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спрямо 2014 г.</w:t>
      </w:r>
    </w:p>
    <w:p w:rsidR="00FF7486" w:rsidRPr="00A41160" w:rsidRDefault="00A45180" w:rsidP="00FF7486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дърва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горене</w:t>
      </w:r>
      <w:r w:rsidR="00CB23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B23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CB2344" w:rsidRPr="00CB234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код 4401</w:t>
      </w:r>
      <w:r w:rsidR="00CB23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се констатира по-плавно намаляване на изнесените количества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, като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 2023 г. намал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ението спрямо 2014 г.  </w:t>
      </w:r>
      <w:r w:rsidR="00AF47E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3149A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близо</w:t>
      </w:r>
      <w:r w:rsidR="00990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4,8 пъти</w:t>
      </w:r>
      <w:r w:rsidR="00AF47E2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15AAA" w:rsidRPr="00A41160" w:rsidRDefault="00FF7486" w:rsidP="00715AAA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Изнесените количества дървени материали </w:t>
      </w:r>
      <w:r w:rsidR="00A45180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общо 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по двата кода</w:t>
      </w:r>
      <w:r w:rsidR="00340CC0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 2023 г. намаляват с </w:t>
      </w:r>
      <w:r w:rsidR="009600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99011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600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90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пъти</w:t>
      </w:r>
      <w:r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спрямо 2014 г. </w:t>
      </w:r>
    </w:p>
    <w:p w:rsidR="00A41160" w:rsidRPr="00A41160" w:rsidRDefault="00A41160" w:rsidP="00715AAA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7B3F" w:rsidRPr="00A41160" w:rsidRDefault="00BB2F04" w:rsidP="00BB2F04">
      <w:pPr>
        <w:tabs>
          <w:tab w:val="left" w:pos="567"/>
        </w:tabs>
        <w:spacing w:line="302" w:lineRule="auto"/>
        <w:ind w:left="0" w:firstLine="567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41160">
        <w:rPr>
          <w:rFonts w:ascii="Times New Roman" w:hAnsi="Times New Roman" w:cs="Times New Roman"/>
          <w:b/>
          <w:bCs/>
          <w:i/>
          <w:sz w:val="24"/>
          <w:szCs w:val="24"/>
        </w:rPr>
        <w:t>Внос</w:t>
      </w:r>
      <w:r w:rsidR="00A41160" w:rsidRPr="00A41160">
        <w:rPr>
          <w:rFonts w:ascii="Times New Roman" w:hAnsi="Times New Roman" w:cs="Times New Roman"/>
          <w:b/>
          <w:bCs/>
          <w:i/>
          <w:sz w:val="24"/>
          <w:szCs w:val="24"/>
        </w:rPr>
        <w:t>/</w:t>
      </w:r>
      <w:r w:rsidRPr="00A4116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пристигане </w:t>
      </w:r>
      <w:r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на дърва за горене</w:t>
      </w:r>
      <w:r w:rsidR="00A41160"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и</w:t>
      </w:r>
      <w:r w:rsidRPr="00A41160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необработен дървен материал </w:t>
      </w:r>
      <w:r w:rsidRPr="00A41160">
        <w:rPr>
          <w:rFonts w:ascii="Times New Roman" w:hAnsi="Times New Roman" w:cs="Times New Roman"/>
          <w:b/>
          <w:bCs/>
          <w:i/>
          <w:sz w:val="24"/>
          <w:szCs w:val="24"/>
        </w:rPr>
        <w:t>по години за периода от 2008 г. до 2023 г.</w:t>
      </w:r>
    </w:p>
    <w:p w:rsidR="00425F9F" w:rsidRPr="00A41160" w:rsidRDefault="00425F9F" w:rsidP="00425F9F">
      <w:pPr>
        <w:spacing w:line="302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F062FE">
        <w:rPr>
          <w:rFonts w:ascii="Times New Roman" w:hAnsi="Times New Roman" w:cs="Times New Roman"/>
          <w:noProof/>
          <w:lang w:eastAsia="bg-BG"/>
        </w:rPr>
        <w:drawing>
          <wp:inline distT="0" distB="0" distL="0" distR="0" wp14:anchorId="371690A3" wp14:editId="5550D21E">
            <wp:extent cx="7000875" cy="2289976"/>
            <wp:effectExtent l="0" t="0" r="9525" b="1524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571CF" w:rsidRDefault="009571CF" w:rsidP="00FF7486">
      <w:pPr>
        <w:ind w:left="0" w:firstLine="709"/>
        <w:rPr>
          <w:rFonts w:ascii="Times New Roman" w:hAnsi="Times New Roman" w:cs="Times New Roman"/>
          <w:b/>
          <w:i/>
          <w:sz w:val="20"/>
          <w:szCs w:val="20"/>
        </w:rPr>
      </w:pPr>
    </w:p>
    <w:p w:rsidR="00FF7486" w:rsidRPr="00A41160" w:rsidRDefault="00FF7486" w:rsidP="00FF7486">
      <w:pPr>
        <w:ind w:left="0" w:firstLine="709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A41160">
        <w:rPr>
          <w:rFonts w:ascii="Times New Roman" w:hAnsi="Times New Roman" w:cs="Times New Roman"/>
          <w:b/>
          <w:i/>
          <w:sz w:val="20"/>
          <w:szCs w:val="20"/>
        </w:rPr>
        <w:t xml:space="preserve">Фиг. 2.  </w:t>
      </w:r>
      <w:r w:rsidR="00DA7CF6">
        <w:rPr>
          <w:rFonts w:ascii="Times New Roman" w:hAnsi="Times New Roman" w:cs="Times New Roman"/>
          <w:b/>
          <w:bCs/>
          <w:i/>
          <w:sz w:val="20"/>
          <w:szCs w:val="20"/>
        </w:rPr>
        <w:t>Динамика на вноса/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>пристигането</w:t>
      </w:r>
      <w:r w:rsidR="00FF5F6D"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>на дървени материали по код 4401, код 4403 и общо за двата  кода  (код 4401 + код 4403) в тон по години за периода от 2008 г. до 2023 г. вкл.</w:t>
      </w:r>
    </w:p>
    <w:p w:rsidR="00CB2344" w:rsidRDefault="00CB2344" w:rsidP="00FF7486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F7486" w:rsidRDefault="00FF7486" w:rsidP="00FF7486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1160">
        <w:rPr>
          <w:rFonts w:ascii="Times New Roman" w:hAnsi="Times New Roman" w:cs="Times New Roman"/>
          <w:sz w:val="24"/>
          <w:szCs w:val="24"/>
        </w:rPr>
        <w:t xml:space="preserve">От фиг. </w:t>
      </w:r>
      <w:r w:rsidR="001F3194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A41160">
        <w:rPr>
          <w:rFonts w:ascii="Times New Roman" w:hAnsi="Times New Roman" w:cs="Times New Roman"/>
          <w:sz w:val="24"/>
          <w:szCs w:val="24"/>
        </w:rPr>
        <w:t>е видно</w:t>
      </w:r>
      <w:r w:rsidR="004735A1" w:rsidRPr="00A41160">
        <w:rPr>
          <w:rFonts w:ascii="Times New Roman" w:hAnsi="Times New Roman" w:cs="Times New Roman"/>
          <w:sz w:val="24"/>
          <w:szCs w:val="24"/>
        </w:rPr>
        <w:t>, че</w:t>
      </w:r>
      <w:r w:rsidRPr="00A41160">
        <w:rPr>
          <w:rFonts w:ascii="Times New Roman" w:hAnsi="Times New Roman" w:cs="Times New Roman"/>
          <w:sz w:val="24"/>
          <w:szCs w:val="24"/>
        </w:rPr>
        <w:t>:</w:t>
      </w:r>
    </w:p>
    <w:p w:rsidR="001F3194" w:rsidRPr="00A41160" w:rsidRDefault="001F3194" w:rsidP="00FF7486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Проследявайки динамиката на </w:t>
      </w:r>
      <w:r w:rsidRPr="00A41160">
        <w:rPr>
          <w:rFonts w:ascii="Times New Roman" w:hAnsi="Times New Roman" w:cs="Times New Roman"/>
          <w:sz w:val="24"/>
          <w:szCs w:val="24"/>
        </w:rPr>
        <w:t xml:space="preserve">внесените/пристигналите 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количества дървени материали по двата кода: </w:t>
      </w:r>
      <w:r w:rsidRPr="00A4116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код 4401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A4116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код 4403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общо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 констатира следното:</w:t>
      </w:r>
      <w:r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FF7486" w:rsidRPr="00A41160" w:rsidRDefault="001F3194" w:rsidP="00FF7486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F7486" w:rsidRPr="00A41160">
        <w:rPr>
          <w:rFonts w:ascii="Times New Roman" w:hAnsi="Times New Roman" w:cs="Times New Roman"/>
          <w:sz w:val="24"/>
          <w:szCs w:val="24"/>
        </w:rPr>
        <w:t xml:space="preserve">. </w:t>
      </w:r>
      <w:r w:rsidR="00835411">
        <w:rPr>
          <w:rFonts w:ascii="Times New Roman" w:hAnsi="Times New Roman" w:cs="Times New Roman"/>
          <w:sz w:val="24"/>
          <w:szCs w:val="24"/>
        </w:rPr>
        <w:t>З</w:t>
      </w:r>
      <w:r w:rsidR="00835411" w:rsidRPr="00A41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периода от 2008 г. до</w:t>
      </w:r>
      <w:r w:rsidR="008354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2018 г. </w:t>
      </w:r>
      <w:r w:rsidR="00073B32" w:rsidRPr="00F062FE">
        <w:rPr>
          <w:rFonts w:ascii="Times New Roman" w:hAnsi="Times New Roman" w:cs="Times New Roman"/>
          <w:sz w:val="24"/>
          <w:szCs w:val="24"/>
        </w:rPr>
        <w:t>няма ясно изразена тенденция на внесените</w:t>
      </w:r>
      <w:r w:rsidR="00073B32">
        <w:rPr>
          <w:rFonts w:ascii="Times New Roman" w:hAnsi="Times New Roman" w:cs="Times New Roman"/>
          <w:sz w:val="24"/>
          <w:szCs w:val="24"/>
        </w:rPr>
        <w:t>/</w:t>
      </w:r>
      <w:r w:rsidR="00073B32" w:rsidRPr="00F062FE">
        <w:rPr>
          <w:rFonts w:ascii="Times New Roman" w:hAnsi="Times New Roman" w:cs="Times New Roman"/>
          <w:sz w:val="24"/>
          <w:szCs w:val="24"/>
        </w:rPr>
        <w:t>прис</w:t>
      </w:r>
      <w:r w:rsidR="00073B32">
        <w:rPr>
          <w:rFonts w:ascii="Times New Roman" w:hAnsi="Times New Roman" w:cs="Times New Roman"/>
          <w:sz w:val="24"/>
          <w:szCs w:val="24"/>
        </w:rPr>
        <w:t>тигналите</w:t>
      </w:r>
      <w:r w:rsidR="00073B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3B32" w:rsidRPr="00F062FE">
        <w:rPr>
          <w:rFonts w:ascii="Times New Roman" w:hAnsi="Times New Roman" w:cs="Times New Roman"/>
          <w:sz w:val="24"/>
          <w:szCs w:val="24"/>
        </w:rPr>
        <w:t>количества д</w:t>
      </w:r>
      <w:r w:rsidR="00073B32">
        <w:rPr>
          <w:rFonts w:ascii="Times New Roman" w:hAnsi="Times New Roman" w:cs="Times New Roman"/>
          <w:sz w:val="24"/>
          <w:szCs w:val="24"/>
        </w:rPr>
        <w:t xml:space="preserve">ървени материали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F5F6D" w:rsidRPr="00A41160">
        <w:rPr>
          <w:rFonts w:ascii="Times New Roman" w:hAnsi="Times New Roman" w:cs="Times New Roman"/>
          <w:sz w:val="24"/>
          <w:szCs w:val="24"/>
        </w:rPr>
        <w:t xml:space="preserve">варират от 32 539 тона </w:t>
      </w:r>
      <w:r w:rsidR="00A41160">
        <w:rPr>
          <w:rFonts w:ascii="Times New Roman" w:hAnsi="Times New Roman" w:cs="Times New Roman"/>
          <w:sz w:val="24"/>
          <w:szCs w:val="24"/>
        </w:rPr>
        <w:t>за</w:t>
      </w:r>
      <w:r w:rsidR="00FF7486" w:rsidRPr="00A41160">
        <w:rPr>
          <w:rFonts w:ascii="Times New Roman" w:hAnsi="Times New Roman" w:cs="Times New Roman"/>
          <w:sz w:val="24"/>
          <w:szCs w:val="24"/>
        </w:rPr>
        <w:t xml:space="preserve"> 2010 г.</w:t>
      </w:r>
      <w:r w:rsidR="00FF5F6D" w:rsidRPr="00A41160">
        <w:rPr>
          <w:rFonts w:ascii="Times New Roman" w:hAnsi="Times New Roman" w:cs="Times New Roman"/>
          <w:sz w:val="24"/>
          <w:szCs w:val="24"/>
        </w:rPr>
        <w:t xml:space="preserve"> до 74 182 тона </w:t>
      </w:r>
      <w:r w:rsidR="00A41160">
        <w:rPr>
          <w:rFonts w:ascii="Times New Roman" w:hAnsi="Times New Roman" w:cs="Times New Roman"/>
          <w:sz w:val="24"/>
          <w:szCs w:val="24"/>
        </w:rPr>
        <w:t>за 2012 г</w:t>
      </w:r>
      <w:r w:rsidR="00FF5F6D" w:rsidRPr="00A41160">
        <w:rPr>
          <w:rFonts w:ascii="Times New Roman" w:hAnsi="Times New Roman" w:cs="Times New Roman"/>
          <w:sz w:val="24"/>
          <w:szCs w:val="24"/>
        </w:rPr>
        <w:t>.</w:t>
      </w:r>
      <w:r w:rsidR="00FF7486" w:rsidRPr="00A41160">
        <w:rPr>
          <w:rFonts w:ascii="Times New Roman" w:hAnsi="Times New Roman" w:cs="Times New Roman"/>
          <w:sz w:val="24"/>
          <w:szCs w:val="24"/>
        </w:rPr>
        <w:t xml:space="preserve"> </w:t>
      </w:r>
      <w:r w:rsidR="009B48ED">
        <w:rPr>
          <w:rFonts w:ascii="Times New Roman" w:hAnsi="Times New Roman" w:cs="Times New Roman"/>
          <w:sz w:val="24"/>
          <w:szCs w:val="24"/>
        </w:rPr>
        <w:t>или с</w:t>
      </w:r>
      <w:r w:rsidR="00FF7486" w:rsidRPr="00A41160">
        <w:rPr>
          <w:rFonts w:ascii="Times New Roman" w:hAnsi="Times New Roman" w:cs="Times New Roman"/>
          <w:sz w:val="24"/>
          <w:szCs w:val="24"/>
        </w:rPr>
        <w:t>редногодишно</w:t>
      </w:r>
      <w:r w:rsidR="00CB2344">
        <w:rPr>
          <w:rFonts w:ascii="Times New Roman" w:hAnsi="Times New Roman" w:cs="Times New Roman"/>
          <w:sz w:val="24"/>
          <w:szCs w:val="24"/>
        </w:rPr>
        <w:t>то</w:t>
      </w:r>
      <w:r w:rsidR="009B48ED">
        <w:rPr>
          <w:rFonts w:ascii="Times New Roman" w:hAnsi="Times New Roman" w:cs="Times New Roman"/>
          <w:sz w:val="24"/>
          <w:szCs w:val="24"/>
        </w:rPr>
        <w:t xml:space="preserve"> </w:t>
      </w:r>
      <w:r w:rsidR="00FF7486" w:rsidRPr="00A41160">
        <w:rPr>
          <w:rFonts w:ascii="Times New Roman" w:hAnsi="Times New Roman" w:cs="Times New Roman"/>
          <w:sz w:val="24"/>
          <w:szCs w:val="24"/>
        </w:rPr>
        <w:t xml:space="preserve">за този период </w:t>
      </w:r>
      <w:r w:rsidR="00CB2344">
        <w:rPr>
          <w:rFonts w:ascii="Times New Roman" w:hAnsi="Times New Roman" w:cs="Times New Roman"/>
          <w:sz w:val="24"/>
          <w:szCs w:val="24"/>
        </w:rPr>
        <w:t xml:space="preserve">е </w:t>
      </w:r>
      <w:r w:rsidR="00FF7486" w:rsidRPr="00A41160">
        <w:rPr>
          <w:rFonts w:ascii="Times New Roman" w:hAnsi="Times New Roman" w:cs="Times New Roman"/>
          <w:sz w:val="24"/>
          <w:szCs w:val="24"/>
        </w:rPr>
        <w:t>малко на</w:t>
      </w:r>
      <w:r w:rsidR="00F85151" w:rsidRPr="00A41160">
        <w:rPr>
          <w:rFonts w:ascii="Times New Roman" w:hAnsi="Times New Roman" w:cs="Times New Roman"/>
          <w:sz w:val="24"/>
          <w:szCs w:val="24"/>
        </w:rPr>
        <w:t>д 61</w:t>
      </w:r>
      <w:r w:rsidR="00CB2344">
        <w:rPr>
          <w:rFonts w:ascii="Times New Roman" w:hAnsi="Times New Roman" w:cs="Times New Roman"/>
          <w:sz w:val="24"/>
          <w:szCs w:val="24"/>
        </w:rPr>
        <w:t xml:space="preserve"> </w:t>
      </w:r>
      <w:r w:rsidR="00FF7486" w:rsidRPr="00A41160">
        <w:rPr>
          <w:rFonts w:ascii="Times New Roman" w:hAnsi="Times New Roman" w:cs="Times New Roman"/>
          <w:sz w:val="24"/>
          <w:szCs w:val="24"/>
        </w:rPr>
        <w:t>хил. тона</w:t>
      </w:r>
      <w:r w:rsidR="009B48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0D2F" w:rsidRPr="00A41160" w:rsidRDefault="001F3194" w:rsidP="00110D2F">
      <w:pPr>
        <w:spacing w:line="302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 Сравнявайки</w:t>
      </w:r>
      <w:r w:rsidR="00CF4367" w:rsidRPr="00A41160">
        <w:rPr>
          <w:rFonts w:ascii="Times New Roman" w:hAnsi="Times New Roman" w:cs="Times New Roman"/>
          <w:sz w:val="24"/>
          <w:szCs w:val="24"/>
        </w:rPr>
        <w:t xml:space="preserve"> количествата внесени</w:t>
      </w:r>
      <w:r w:rsidR="00CB2344">
        <w:rPr>
          <w:rFonts w:ascii="Times New Roman" w:hAnsi="Times New Roman" w:cs="Times New Roman"/>
          <w:sz w:val="24"/>
          <w:szCs w:val="24"/>
        </w:rPr>
        <w:t>/</w:t>
      </w:r>
      <w:r w:rsidR="00CF4367" w:rsidRPr="00A41160">
        <w:rPr>
          <w:rFonts w:ascii="Times New Roman" w:hAnsi="Times New Roman" w:cs="Times New Roman"/>
          <w:sz w:val="24"/>
          <w:szCs w:val="24"/>
        </w:rPr>
        <w:t xml:space="preserve">пристигнали дървени материали </w:t>
      </w:r>
      <w:r w:rsidR="009B48ED">
        <w:rPr>
          <w:rFonts w:ascii="Times New Roman" w:hAnsi="Times New Roman" w:cs="Times New Roman"/>
          <w:sz w:val="24"/>
          <w:szCs w:val="24"/>
        </w:rPr>
        <w:t>поотделно и общо за</w:t>
      </w:r>
      <w:r w:rsidR="00CF4367" w:rsidRPr="00A41160">
        <w:rPr>
          <w:rFonts w:ascii="Times New Roman" w:hAnsi="Times New Roman" w:cs="Times New Roman"/>
          <w:sz w:val="24"/>
          <w:szCs w:val="24"/>
        </w:rPr>
        <w:t xml:space="preserve"> двата кода з</w:t>
      </w:r>
      <w:r w:rsidR="00FF5F6D" w:rsidRPr="00A41160">
        <w:rPr>
          <w:rFonts w:ascii="Times New Roman" w:hAnsi="Times New Roman" w:cs="Times New Roman"/>
          <w:sz w:val="24"/>
          <w:szCs w:val="24"/>
        </w:rPr>
        <w:t xml:space="preserve">а периода от </w:t>
      </w:r>
      <w:r w:rsidR="00110D2F" w:rsidRPr="00A41160">
        <w:rPr>
          <w:rFonts w:ascii="Times New Roman" w:hAnsi="Times New Roman" w:cs="Times New Roman"/>
          <w:sz w:val="24"/>
          <w:szCs w:val="24"/>
        </w:rPr>
        <w:t xml:space="preserve">2018 г. </w:t>
      </w:r>
      <w:r w:rsidR="00FF5F6D" w:rsidRPr="00A41160">
        <w:rPr>
          <w:rFonts w:ascii="Times New Roman" w:hAnsi="Times New Roman" w:cs="Times New Roman"/>
          <w:sz w:val="24"/>
          <w:szCs w:val="24"/>
        </w:rPr>
        <w:t>до</w:t>
      </w:r>
      <w:r w:rsidR="00110D2F" w:rsidRPr="00A41160">
        <w:rPr>
          <w:rFonts w:ascii="Times New Roman" w:hAnsi="Times New Roman" w:cs="Times New Roman"/>
          <w:sz w:val="24"/>
          <w:szCs w:val="24"/>
        </w:rPr>
        <w:t xml:space="preserve"> 2022 г.</w:t>
      </w:r>
      <w:r w:rsidR="00CF4367" w:rsidRPr="00A41160">
        <w:rPr>
          <w:rFonts w:ascii="Times New Roman" w:hAnsi="Times New Roman" w:cs="Times New Roman"/>
          <w:sz w:val="24"/>
          <w:szCs w:val="24"/>
        </w:rPr>
        <w:t xml:space="preserve"> се констатира </w:t>
      </w:r>
      <w:r w:rsidR="00110D2F" w:rsidRPr="00A41160">
        <w:rPr>
          <w:rFonts w:ascii="Times New Roman" w:hAnsi="Times New Roman" w:cs="Times New Roman"/>
          <w:b/>
          <w:sz w:val="24"/>
          <w:szCs w:val="24"/>
        </w:rPr>
        <w:t>нарастваща тенденция</w:t>
      </w:r>
      <w:r w:rsidR="00CF4367" w:rsidRPr="00A41160">
        <w:rPr>
          <w:rFonts w:ascii="Times New Roman" w:hAnsi="Times New Roman" w:cs="Times New Roman"/>
          <w:sz w:val="24"/>
          <w:szCs w:val="24"/>
        </w:rPr>
        <w:t>. Внесените</w:t>
      </w:r>
      <w:r w:rsidR="00CB2344">
        <w:rPr>
          <w:rFonts w:ascii="Times New Roman" w:hAnsi="Times New Roman" w:cs="Times New Roman"/>
          <w:sz w:val="24"/>
          <w:szCs w:val="24"/>
        </w:rPr>
        <w:t>/</w:t>
      </w:r>
      <w:r w:rsidR="00CF4367" w:rsidRPr="00A41160">
        <w:rPr>
          <w:rFonts w:ascii="Times New Roman" w:hAnsi="Times New Roman" w:cs="Times New Roman"/>
          <w:sz w:val="24"/>
          <w:szCs w:val="24"/>
        </w:rPr>
        <w:t xml:space="preserve">пристигналите количества дървени материали през 2022 г. </w:t>
      </w:r>
      <w:r w:rsidR="009B48ED">
        <w:rPr>
          <w:rFonts w:ascii="Times New Roman" w:hAnsi="Times New Roman" w:cs="Times New Roman"/>
          <w:sz w:val="24"/>
          <w:szCs w:val="24"/>
        </w:rPr>
        <w:t>са близо</w:t>
      </w:r>
      <w:r w:rsidR="00CF4367" w:rsidRPr="00A41160">
        <w:rPr>
          <w:rFonts w:ascii="Times New Roman" w:hAnsi="Times New Roman" w:cs="Times New Roman"/>
          <w:sz w:val="24"/>
          <w:szCs w:val="24"/>
        </w:rPr>
        <w:t xml:space="preserve"> 3,7 пъти повече спрямо 2018 г.</w:t>
      </w:r>
    </w:p>
    <w:p w:rsidR="009B48ED" w:rsidRDefault="001F3194" w:rsidP="00FF7486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През 2023 г. внос</w:t>
      </w:r>
      <w:r w:rsidR="009B48ED">
        <w:rPr>
          <w:rFonts w:ascii="Times New Roman" w:eastAsia="Times New Roman" w:hAnsi="Times New Roman" w:cs="Times New Roman"/>
          <w:color w:val="000000"/>
          <w:sz w:val="24"/>
          <w:szCs w:val="24"/>
        </w:rPr>
        <w:t>ът</w:t>
      </w:r>
      <w:r w:rsidR="00FF7486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дървени материали намалява спрямо 2022 г.</w:t>
      </w:r>
      <w:r w:rsidR="00CF4367" w:rsidRPr="00A41160">
        <w:rPr>
          <w:rFonts w:ascii="Times New Roman" w:eastAsia="Times New Roman" w:hAnsi="Times New Roman" w:cs="Times New Roman"/>
          <w:color w:val="000000"/>
          <w:sz w:val="24"/>
          <w:szCs w:val="24"/>
        </w:rPr>
        <w:t>, както следва:</w:t>
      </w:r>
    </w:p>
    <w:p w:rsidR="009B48ED" w:rsidRDefault="00FF7486" w:rsidP="009B48ED">
      <w:pPr>
        <w:pStyle w:val="ListParagraph"/>
        <w:numPr>
          <w:ilvl w:val="0"/>
          <w:numId w:val="6"/>
        </w:numPr>
        <w:spacing w:line="302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общо по двата кода </w:t>
      </w:r>
      <w:r w:rsidR="00FF5F6D" w:rsidRPr="009B48ED">
        <w:rPr>
          <w:rFonts w:ascii="Times New Roman" w:hAnsi="Times New Roman" w:cs="Times New Roman"/>
          <w:sz w:val="24"/>
          <w:szCs w:val="24"/>
        </w:rPr>
        <w:t xml:space="preserve">количеството </w:t>
      </w: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намалява с над 101 хил. тона (45,12 %)</w:t>
      </w:r>
      <w:r w:rsidR="00CF4367"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9B48ED" w:rsidRDefault="00FF7486" w:rsidP="009B48ED">
      <w:pPr>
        <w:pStyle w:val="ListParagraph"/>
        <w:numPr>
          <w:ilvl w:val="0"/>
          <w:numId w:val="6"/>
        </w:numPr>
        <w:spacing w:line="302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</w:t>
      </w:r>
      <w:r w:rsidRPr="009B48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код 4401</w:t>
      </w: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364AA"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намалението е</w:t>
      </w: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над 85 хил. тона (50,01 %)</w:t>
      </w:r>
      <w:r w:rsid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FF7486" w:rsidRDefault="00FF7486" w:rsidP="009B48ED">
      <w:pPr>
        <w:pStyle w:val="ListParagraph"/>
        <w:numPr>
          <w:ilvl w:val="0"/>
          <w:numId w:val="6"/>
        </w:numPr>
        <w:spacing w:line="302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</w:t>
      </w:r>
      <w:r w:rsidRPr="009B48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код</w:t>
      </w: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B48E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4403</w:t>
      </w: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намал</w:t>
      </w:r>
      <w:r w:rsidR="006364AA"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ението е</w:t>
      </w:r>
      <w:r w:rsidRPr="009B48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над 16 хил. тона (29,65 %).</w:t>
      </w:r>
    </w:p>
    <w:p w:rsidR="001F3194" w:rsidRDefault="001F3194" w:rsidP="001F3194">
      <w:pPr>
        <w:tabs>
          <w:tab w:val="left" w:pos="567"/>
        </w:tabs>
        <w:spacing w:line="302" w:lineRule="auto"/>
        <w:ind w:left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1F3194" w:rsidRDefault="001F3194" w:rsidP="001F3194">
      <w:pPr>
        <w:tabs>
          <w:tab w:val="left" w:pos="567"/>
        </w:tabs>
        <w:spacing w:line="302" w:lineRule="auto"/>
        <w:ind w:left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ab/>
        <w:t>Сравнение на количествата изнесени/изпратени с внесените</w:t>
      </w:r>
      <w:r w:rsidRPr="001F3194">
        <w:rPr>
          <w:rFonts w:ascii="Times New Roman" w:hAnsi="Times New Roman" w:cs="Times New Roman"/>
          <w:b/>
          <w:bCs/>
          <w:i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="00822267">
        <w:rPr>
          <w:rFonts w:ascii="Times New Roman" w:hAnsi="Times New Roman" w:cs="Times New Roman"/>
          <w:b/>
          <w:bCs/>
          <w:i/>
          <w:sz w:val="24"/>
          <w:szCs w:val="24"/>
        </w:rPr>
        <w:t>ристигналите дървени материали</w:t>
      </w:r>
      <w:r w:rsidR="009C3BBB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1F3194">
        <w:rPr>
          <w:rFonts w:ascii="Times New Roman" w:hAnsi="Times New Roman" w:cs="Times New Roman"/>
          <w:b/>
          <w:bCs/>
          <w:i/>
          <w:sz w:val="24"/>
          <w:szCs w:val="24"/>
        </w:rPr>
        <w:t>за периода от 2008 г. до 2023 г.</w:t>
      </w:r>
    </w:p>
    <w:p w:rsidR="009C3BBB" w:rsidRDefault="009C3BBB" w:rsidP="001F3194">
      <w:pPr>
        <w:tabs>
          <w:tab w:val="left" w:pos="567"/>
        </w:tabs>
        <w:spacing w:line="302" w:lineRule="auto"/>
        <w:ind w:left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3BBB" w:rsidRPr="00822267" w:rsidRDefault="009C3BBB" w:rsidP="00822267">
      <w:pPr>
        <w:spacing w:line="302" w:lineRule="auto"/>
        <w:ind w:right="-1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22267">
        <w:rPr>
          <w:rFonts w:ascii="Times New Roman" w:hAnsi="Times New Roman" w:cs="Times New Roman"/>
          <w:i/>
          <w:sz w:val="24"/>
          <w:szCs w:val="24"/>
        </w:rPr>
        <w:t xml:space="preserve">Сравнение внос/износ  по код </w:t>
      </w:r>
      <w:r w:rsidRPr="00822267">
        <w:rPr>
          <w:rFonts w:ascii="Times New Roman" w:hAnsi="Times New Roman" w:cs="Times New Roman"/>
          <w:i/>
          <w:sz w:val="24"/>
          <w:szCs w:val="24"/>
          <w:lang w:val="en-US"/>
        </w:rPr>
        <w:t>4403.</w:t>
      </w:r>
    </w:p>
    <w:p w:rsidR="009C3BBB" w:rsidRDefault="009C3BBB" w:rsidP="009C3BBB">
      <w:pPr>
        <w:spacing w:line="302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bg-BG"/>
        </w:rPr>
        <w:drawing>
          <wp:inline distT="0" distB="0" distL="0" distR="0" wp14:anchorId="7CCD7C08" wp14:editId="424EBFA1">
            <wp:extent cx="7019925" cy="2226365"/>
            <wp:effectExtent l="0" t="0" r="9525" b="254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C3BBB" w:rsidRPr="00A41160" w:rsidRDefault="009C3BBB" w:rsidP="009C3BBB">
      <w:pPr>
        <w:ind w:left="0" w:firstLine="709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Фиг. 3</w:t>
      </w:r>
      <w:r w:rsidRPr="00A41160">
        <w:rPr>
          <w:rFonts w:ascii="Times New Roman" w:hAnsi="Times New Roman" w:cs="Times New Roman"/>
          <w:b/>
          <w:i/>
          <w:sz w:val="20"/>
          <w:szCs w:val="20"/>
        </w:rPr>
        <w:t xml:space="preserve">.  </w:t>
      </w:r>
      <w:r>
        <w:rPr>
          <w:rFonts w:ascii="Times New Roman" w:hAnsi="Times New Roman" w:cs="Times New Roman"/>
          <w:b/>
          <w:i/>
          <w:sz w:val="20"/>
          <w:szCs w:val="20"/>
        </w:rPr>
        <w:t>Сравнение на количествата на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внесените/пристигналите с тези на изнесените/изпратените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дървени материали 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>общо по  код 4403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в тон по години за периода от 2008 г. до 2023 г. вкл.</w:t>
      </w:r>
    </w:p>
    <w:p w:rsidR="009C3BBB" w:rsidRPr="0088699F" w:rsidRDefault="003032A3" w:rsidP="009C3BBB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Съгласно данните на фиг.3</w:t>
      </w:r>
      <w:r w:rsidR="009C3BBB" w:rsidRPr="008869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 видно, че през 2022 г. и 2023 г. </w:t>
      </w:r>
      <w:r w:rsidR="009C3BBB" w:rsidRPr="008869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вносът на необработен дървен материал по код 4403 надхвърля многократно износа</w:t>
      </w:r>
      <w:r w:rsidR="009C3BBB" w:rsidRPr="008869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същия код, както следва: </w:t>
      </w:r>
    </w:p>
    <w:p w:rsidR="009C3BBB" w:rsidRPr="0088699F" w:rsidRDefault="009C3BBB" w:rsidP="009C3BBB">
      <w:pPr>
        <w:spacing w:line="302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69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През 2022 г. изнесеният необработен дървен материал е 20 112 тона, а внесеният - 54 050 тона ,т.е. вносът е 2,6 пъти повече от износа;</w:t>
      </w:r>
    </w:p>
    <w:p w:rsidR="009C3BBB" w:rsidRPr="0088699F" w:rsidRDefault="009C3BBB" w:rsidP="009C3BBB">
      <w:pPr>
        <w:spacing w:line="302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69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През 2023 г. количеството на изнесения дървен материал е 11 322 тона, а внесеният е 38 027 тона т.е. вносът е 3,4 пъти повече от износа.  </w:t>
      </w:r>
    </w:p>
    <w:p w:rsidR="009C3BBB" w:rsidRPr="00A41160" w:rsidRDefault="009C3BBB" w:rsidP="009C3BBB">
      <w:pPr>
        <w:spacing w:line="302" w:lineRule="auto"/>
        <w:ind w:left="0" w:right="283"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C3BBB" w:rsidRDefault="009C3BB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D04D8A" w:rsidRPr="00822267" w:rsidRDefault="00D04D8A" w:rsidP="00822267">
      <w:pPr>
        <w:spacing w:line="302" w:lineRule="auto"/>
        <w:ind w:right="-1" w:firstLine="142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2226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Сравнение внос/износ общо по двата кода </w:t>
      </w:r>
      <w:r w:rsidRPr="00822267">
        <w:rPr>
          <w:rFonts w:ascii="Times New Roman" w:hAnsi="Times New Roman" w:cs="Times New Roman"/>
          <w:i/>
          <w:sz w:val="24"/>
          <w:szCs w:val="24"/>
          <w:lang w:val="en-US"/>
        </w:rPr>
        <w:t>(4401+4403</w:t>
      </w:r>
      <w:r w:rsidR="009C3BBB" w:rsidRPr="00822267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9C3BBB" w:rsidRPr="009C3BBB" w:rsidRDefault="009C3BBB" w:rsidP="00D05E81">
      <w:pPr>
        <w:spacing w:line="302" w:lineRule="auto"/>
        <w:ind w:left="0" w:right="-1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noProof/>
          <w:lang w:eastAsia="bg-BG"/>
        </w:rPr>
        <w:drawing>
          <wp:inline distT="0" distB="0" distL="0" distR="0" wp14:anchorId="03E75C1D" wp14:editId="797D7512">
            <wp:extent cx="7315200" cy="2898475"/>
            <wp:effectExtent l="0" t="0" r="0" b="1651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3BBB" w:rsidRPr="00A41160" w:rsidRDefault="009C3BBB" w:rsidP="009C3BBB">
      <w:pPr>
        <w:ind w:left="0" w:firstLine="709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Фиг. </w:t>
      </w:r>
      <w:r>
        <w:rPr>
          <w:rFonts w:ascii="Times New Roman" w:hAnsi="Times New Roman" w:cs="Times New Roman"/>
          <w:b/>
          <w:i/>
          <w:sz w:val="20"/>
          <w:szCs w:val="20"/>
          <w:lang w:val="en-US"/>
        </w:rPr>
        <w:t>4</w:t>
      </w:r>
      <w:r w:rsidRPr="00A41160">
        <w:rPr>
          <w:rFonts w:ascii="Times New Roman" w:hAnsi="Times New Roman" w:cs="Times New Roman"/>
          <w:b/>
          <w:i/>
          <w:sz w:val="20"/>
          <w:szCs w:val="20"/>
        </w:rPr>
        <w:t xml:space="preserve">.  </w:t>
      </w:r>
      <w:r>
        <w:rPr>
          <w:rFonts w:ascii="Times New Roman" w:hAnsi="Times New Roman" w:cs="Times New Roman"/>
          <w:b/>
          <w:i/>
          <w:sz w:val="20"/>
          <w:szCs w:val="20"/>
        </w:rPr>
        <w:t>Сравнение на количествата на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внесените/пристигналите с тези на изнесените/изпратените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дървени материали </w:t>
      </w:r>
      <w:r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общо за двата  кода  (4401 + 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>4403) в тон</w:t>
      </w:r>
      <w:r w:rsidR="00D05E81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и в %,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по години за периода от 2008 г. до 2023 г. вкл.</w:t>
      </w:r>
    </w:p>
    <w:p w:rsidR="009C3BBB" w:rsidRDefault="009C3BBB" w:rsidP="009C3BBB">
      <w:pPr>
        <w:spacing w:line="302" w:lineRule="auto"/>
        <w:ind w:left="0" w:right="-1"/>
        <w:rPr>
          <w:rFonts w:ascii="Times New Roman" w:hAnsi="Times New Roman" w:cs="Times New Roman"/>
          <w:sz w:val="24"/>
          <w:szCs w:val="24"/>
        </w:rPr>
      </w:pPr>
    </w:p>
    <w:p w:rsidR="00C82CB9" w:rsidRDefault="00C82CB9" w:rsidP="00C82CB9">
      <w:pPr>
        <w:spacing w:line="302" w:lineRule="auto"/>
        <w:ind w:left="0" w:right="-1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 периода от 2008 г. до 2018 г. </w:t>
      </w:r>
      <w:r w:rsidRPr="001F3194">
        <w:rPr>
          <w:rFonts w:ascii="Times New Roman" w:hAnsi="Times New Roman" w:cs="Times New Roman"/>
          <w:sz w:val="24"/>
          <w:szCs w:val="24"/>
        </w:rPr>
        <w:t>Сравнявайки обемите на изнесените/изпратените дървени материали по съответните кодове и по години с внесените/пристигналите по същите кодове е видно, че количествата на внесените/пристигналите дървени материали са значително по-ниски от тези на изнесените/изпратените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5411" w:rsidRDefault="00C82CB9" w:rsidP="00835411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35411" w:rsidRPr="00A41160">
        <w:rPr>
          <w:rFonts w:ascii="Times New Roman" w:hAnsi="Times New Roman" w:cs="Times New Roman"/>
          <w:sz w:val="24"/>
          <w:szCs w:val="24"/>
        </w:rPr>
        <w:t>. Внесените/пристигналите дървени материали общо по двата кода</w:t>
      </w:r>
      <w:r w:rsidR="00835411">
        <w:rPr>
          <w:rFonts w:ascii="Times New Roman" w:hAnsi="Times New Roman" w:cs="Times New Roman"/>
          <w:sz w:val="24"/>
          <w:szCs w:val="24"/>
        </w:rPr>
        <w:t xml:space="preserve"> </w:t>
      </w:r>
      <w:r w:rsidR="0083541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35411" w:rsidRPr="00CB2344">
        <w:rPr>
          <w:rFonts w:ascii="Times New Roman" w:hAnsi="Times New Roman" w:cs="Times New Roman"/>
          <w:i/>
          <w:sz w:val="24"/>
          <w:szCs w:val="24"/>
          <w:lang w:val="en-US"/>
        </w:rPr>
        <w:t>4401+4403</w:t>
      </w:r>
      <w:r w:rsidR="0083541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35411" w:rsidRPr="00A411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5411" w:rsidRPr="00A41160">
        <w:rPr>
          <w:rFonts w:ascii="Times New Roman" w:hAnsi="Times New Roman" w:cs="Times New Roman"/>
          <w:sz w:val="24"/>
          <w:szCs w:val="24"/>
        </w:rPr>
        <w:t xml:space="preserve">през 2008 г. </w:t>
      </w:r>
      <w:r w:rsidR="00835411">
        <w:rPr>
          <w:rFonts w:ascii="Times New Roman" w:hAnsi="Times New Roman" w:cs="Times New Roman"/>
          <w:sz w:val="24"/>
          <w:szCs w:val="24"/>
        </w:rPr>
        <w:t>са</w:t>
      </w:r>
      <w:r w:rsidR="00835411" w:rsidRPr="00A41160">
        <w:rPr>
          <w:rFonts w:ascii="Times New Roman" w:hAnsi="Times New Roman" w:cs="Times New Roman"/>
          <w:sz w:val="24"/>
          <w:szCs w:val="24"/>
        </w:rPr>
        <w:t xml:space="preserve"> 154 756 тона</w:t>
      </w:r>
      <w:r w:rsidR="00835411">
        <w:rPr>
          <w:rFonts w:ascii="Times New Roman" w:hAnsi="Times New Roman" w:cs="Times New Roman"/>
          <w:sz w:val="24"/>
          <w:szCs w:val="24"/>
        </w:rPr>
        <w:t xml:space="preserve"> и </w:t>
      </w:r>
      <w:r w:rsidR="00835411" w:rsidRPr="00A41160">
        <w:rPr>
          <w:rFonts w:ascii="Times New Roman" w:hAnsi="Times New Roman" w:cs="Times New Roman"/>
          <w:sz w:val="24"/>
          <w:szCs w:val="24"/>
        </w:rPr>
        <w:t>представляват 43,45</w:t>
      </w:r>
      <w:r w:rsidR="00D05E81">
        <w:rPr>
          <w:rFonts w:ascii="Times New Roman" w:hAnsi="Times New Roman" w:cs="Times New Roman"/>
          <w:sz w:val="24"/>
          <w:szCs w:val="24"/>
        </w:rPr>
        <w:t xml:space="preserve"> </w:t>
      </w:r>
      <w:r w:rsidR="00835411" w:rsidRPr="00A41160">
        <w:rPr>
          <w:rFonts w:ascii="Times New Roman" w:hAnsi="Times New Roman" w:cs="Times New Roman"/>
          <w:sz w:val="24"/>
          <w:szCs w:val="24"/>
        </w:rPr>
        <w:t xml:space="preserve">% от изнесените </w:t>
      </w:r>
      <w:r w:rsidR="00835411">
        <w:rPr>
          <w:rFonts w:ascii="Times New Roman" w:hAnsi="Times New Roman" w:cs="Times New Roman"/>
          <w:sz w:val="24"/>
          <w:szCs w:val="24"/>
        </w:rPr>
        <w:t xml:space="preserve">- </w:t>
      </w:r>
      <w:r w:rsidR="00835411" w:rsidRPr="00A41160">
        <w:rPr>
          <w:rFonts w:ascii="Times New Roman" w:hAnsi="Times New Roman" w:cs="Times New Roman"/>
          <w:sz w:val="24"/>
          <w:szCs w:val="24"/>
        </w:rPr>
        <w:t>356 207 тона. Всяка следваща година това съотношение намалява драстично и през 2014 г., когато са отчетени най-високите стойности за износ, процентното съотношение на вноса спрямо износа по двата кода достига 3,73 %  - внесени са 45 339 тона, а са изнесени 1 214 574 тона</w:t>
      </w:r>
      <w:r w:rsidR="00D04D8A">
        <w:rPr>
          <w:rFonts w:ascii="Times New Roman" w:hAnsi="Times New Roman" w:cs="Times New Roman"/>
          <w:sz w:val="24"/>
          <w:szCs w:val="24"/>
        </w:rPr>
        <w:t xml:space="preserve"> т.е. </w:t>
      </w:r>
      <w:r w:rsidR="00D04D8A" w:rsidRPr="00A41160">
        <w:rPr>
          <w:rFonts w:ascii="Times New Roman" w:hAnsi="Times New Roman" w:cs="Times New Roman"/>
          <w:sz w:val="24"/>
          <w:szCs w:val="24"/>
        </w:rPr>
        <w:t>внос</w:t>
      </w:r>
      <w:r w:rsidR="00D04D8A">
        <w:rPr>
          <w:rFonts w:ascii="Times New Roman" w:hAnsi="Times New Roman" w:cs="Times New Roman"/>
          <w:sz w:val="24"/>
          <w:szCs w:val="24"/>
        </w:rPr>
        <w:t>ът общо по двата кода е почти 27 пъти по-малък</w:t>
      </w:r>
      <w:r w:rsidR="00835411" w:rsidRPr="00A41160">
        <w:rPr>
          <w:rFonts w:ascii="Times New Roman" w:hAnsi="Times New Roman" w:cs="Times New Roman"/>
          <w:sz w:val="24"/>
          <w:szCs w:val="24"/>
        </w:rPr>
        <w:t>;</w:t>
      </w:r>
    </w:p>
    <w:p w:rsidR="009F0014" w:rsidRPr="00A41160" w:rsidRDefault="00C82CB9" w:rsidP="009F0014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F0014">
        <w:rPr>
          <w:rFonts w:ascii="Times New Roman" w:hAnsi="Times New Roman" w:cs="Times New Roman"/>
          <w:sz w:val="24"/>
          <w:szCs w:val="24"/>
        </w:rPr>
        <w:t xml:space="preserve">. </w:t>
      </w:r>
      <w:r w:rsidR="009F0014" w:rsidRPr="00A41160">
        <w:rPr>
          <w:rFonts w:ascii="Times New Roman" w:hAnsi="Times New Roman" w:cs="Times New Roman"/>
          <w:sz w:val="24"/>
          <w:szCs w:val="24"/>
        </w:rPr>
        <w:t>През 20</w:t>
      </w:r>
      <w:r w:rsidR="009F0014">
        <w:rPr>
          <w:rFonts w:ascii="Times New Roman" w:hAnsi="Times New Roman" w:cs="Times New Roman"/>
          <w:sz w:val="24"/>
          <w:szCs w:val="24"/>
        </w:rPr>
        <w:t>22 г. количествата на внесените/</w:t>
      </w:r>
      <w:r w:rsidR="009F0014" w:rsidRPr="00A41160">
        <w:rPr>
          <w:rFonts w:ascii="Times New Roman" w:hAnsi="Times New Roman" w:cs="Times New Roman"/>
          <w:sz w:val="24"/>
          <w:szCs w:val="24"/>
        </w:rPr>
        <w:t>пристигналите дървени материали общо по двата кода са почти</w:t>
      </w:r>
      <w:r w:rsidR="009F0014">
        <w:rPr>
          <w:rFonts w:ascii="Times New Roman" w:hAnsi="Times New Roman" w:cs="Times New Roman"/>
          <w:sz w:val="24"/>
          <w:szCs w:val="24"/>
        </w:rPr>
        <w:t xml:space="preserve"> изравнени с тези на изнесените/</w:t>
      </w:r>
      <w:r w:rsidR="009F0014" w:rsidRPr="00A41160">
        <w:rPr>
          <w:rFonts w:ascii="Times New Roman" w:hAnsi="Times New Roman" w:cs="Times New Roman"/>
          <w:sz w:val="24"/>
          <w:szCs w:val="24"/>
        </w:rPr>
        <w:t>изпратените</w:t>
      </w:r>
      <w:r w:rsidR="009F0014">
        <w:rPr>
          <w:rFonts w:ascii="Times New Roman" w:hAnsi="Times New Roman" w:cs="Times New Roman"/>
          <w:sz w:val="24"/>
          <w:szCs w:val="24"/>
        </w:rPr>
        <w:t xml:space="preserve"> -</w:t>
      </w:r>
      <w:r w:rsidR="009F0014" w:rsidRPr="00A41160">
        <w:rPr>
          <w:rFonts w:ascii="Times New Roman" w:hAnsi="Times New Roman" w:cs="Times New Roman"/>
          <w:sz w:val="24"/>
          <w:szCs w:val="24"/>
        </w:rPr>
        <w:t xml:space="preserve"> износът е 225 398 тона, а вносът е 225 032 тона.</w:t>
      </w:r>
    </w:p>
    <w:p w:rsidR="009F0014" w:rsidRPr="00A41160" w:rsidRDefault="009F0014" w:rsidP="009F0014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41160">
        <w:rPr>
          <w:rFonts w:ascii="Times New Roman" w:hAnsi="Times New Roman" w:cs="Times New Roman"/>
          <w:sz w:val="24"/>
          <w:szCs w:val="24"/>
        </w:rPr>
        <w:t>През 2023 г. е от</w:t>
      </w:r>
      <w:r>
        <w:rPr>
          <w:rFonts w:ascii="Times New Roman" w:hAnsi="Times New Roman" w:cs="Times New Roman"/>
          <w:sz w:val="24"/>
          <w:szCs w:val="24"/>
        </w:rPr>
        <w:t>четен лек превес при изнесените/</w:t>
      </w:r>
      <w:r w:rsidRPr="00A41160">
        <w:rPr>
          <w:rFonts w:ascii="Times New Roman" w:hAnsi="Times New Roman" w:cs="Times New Roman"/>
          <w:sz w:val="24"/>
          <w:szCs w:val="24"/>
        </w:rPr>
        <w:t>изпратените количества дървени материали общо по двата кода, като са изнесени 162 534 тона, а са внесени 123 500 тона.</w:t>
      </w:r>
    </w:p>
    <w:p w:rsidR="00FF7486" w:rsidRDefault="00FF7486" w:rsidP="00FF7486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41160">
        <w:rPr>
          <w:rFonts w:ascii="Times New Roman" w:hAnsi="Times New Roman" w:cs="Times New Roman"/>
          <w:sz w:val="24"/>
          <w:szCs w:val="24"/>
        </w:rPr>
        <w:t>Отчетените през 2022 г. и 2023 г. близки стойности на изнесените</w:t>
      </w:r>
      <w:r w:rsidR="00CB2344">
        <w:rPr>
          <w:rFonts w:ascii="Times New Roman" w:hAnsi="Times New Roman" w:cs="Times New Roman"/>
          <w:sz w:val="24"/>
          <w:szCs w:val="24"/>
        </w:rPr>
        <w:t>/</w:t>
      </w:r>
      <w:r w:rsidRPr="00A41160">
        <w:rPr>
          <w:rFonts w:ascii="Times New Roman" w:hAnsi="Times New Roman" w:cs="Times New Roman"/>
          <w:sz w:val="24"/>
          <w:szCs w:val="24"/>
        </w:rPr>
        <w:t>изпратените</w:t>
      </w:r>
      <w:r w:rsidR="002B5498" w:rsidRPr="00A41160">
        <w:rPr>
          <w:rFonts w:ascii="Times New Roman" w:hAnsi="Times New Roman" w:cs="Times New Roman"/>
          <w:sz w:val="24"/>
          <w:szCs w:val="24"/>
        </w:rPr>
        <w:t>)</w:t>
      </w:r>
      <w:r w:rsidRPr="00A41160">
        <w:rPr>
          <w:rFonts w:ascii="Times New Roman" w:hAnsi="Times New Roman" w:cs="Times New Roman"/>
          <w:sz w:val="24"/>
          <w:szCs w:val="24"/>
        </w:rPr>
        <w:t xml:space="preserve"> и внесените</w:t>
      </w:r>
      <w:r w:rsidR="00CB2344">
        <w:rPr>
          <w:rFonts w:ascii="Times New Roman" w:hAnsi="Times New Roman" w:cs="Times New Roman"/>
          <w:sz w:val="24"/>
          <w:szCs w:val="24"/>
        </w:rPr>
        <w:t>/</w:t>
      </w:r>
      <w:r w:rsidRPr="00A41160">
        <w:rPr>
          <w:rFonts w:ascii="Times New Roman" w:hAnsi="Times New Roman" w:cs="Times New Roman"/>
          <w:sz w:val="24"/>
          <w:szCs w:val="24"/>
        </w:rPr>
        <w:t>пристигналите</w:t>
      </w:r>
      <w:r w:rsidR="002B5498" w:rsidRPr="00A41160">
        <w:rPr>
          <w:rFonts w:ascii="Times New Roman" w:hAnsi="Times New Roman" w:cs="Times New Roman"/>
          <w:sz w:val="24"/>
          <w:szCs w:val="24"/>
        </w:rPr>
        <w:t xml:space="preserve"> </w:t>
      </w:r>
      <w:r w:rsidRPr="00A41160">
        <w:rPr>
          <w:rFonts w:ascii="Times New Roman" w:hAnsi="Times New Roman" w:cs="Times New Roman"/>
          <w:sz w:val="24"/>
          <w:szCs w:val="24"/>
        </w:rPr>
        <w:t>количества дървени материали общо по двата кода</w:t>
      </w:r>
      <w:r w:rsidR="002B5498" w:rsidRPr="00A41160">
        <w:rPr>
          <w:rFonts w:ascii="Times New Roman" w:hAnsi="Times New Roman" w:cs="Times New Roman"/>
          <w:sz w:val="24"/>
          <w:szCs w:val="24"/>
        </w:rPr>
        <w:t xml:space="preserve"> (</w:t>
      </w:r>
      <w:r w:rsidR="002B5498" w:rsidRPr="00A41160">
        <w:rPr>
          <w:rFonts w:ascii="Times New Roman" w:hAnsi="Times New Roman" w:cs="Times New Roman"/>
          <w:i/>
          <w:sz w:val="24"/>
          <w:szCs w:val="24"/>
        </w:rPr>
        <w:t>4401</w:t>
      </w:r>
      <w:r w:rsidR="002B5498" w:rsidRPr="00A41160">
        <w:rPr>
          <w:rFonts w:ascii="Times New Roman" w:hAnsi="Times New Roman" w:cs="Times New Roman"/>
          <w:sz w:val="24"/>
          <w:szCs w:val="24"/>
        </w:rPr>
        <w:t>+</w:t>
      </w:r>
      <w:r w:rsidR="002B5498" w:rsidRPr="00A41160">
        <w:rPr>
          <w:rFonts w:ascii="Times New Roman" w:hAnsi="Times New Roman" w:cs="Times New Roman"/>
          <w:i/>
          <w:sz w:val="24"/>
          <w:szCs w:val="24"/>
        </w:rPr>
        <w:t>4403</w:t>
      </w:r>
      <w:r w:rsidR="002B5498" w:rsidRPr="00A41160">
        <w:rPr>
          <w:rFonts w:ascii="Times New Roman" w:hAnsi="Times New Roman" w:cs="Times New Roman"/>
          <w:sz w:val="24"/>
          <w:szCs w:val="24"/>
        </w:rPr>
        <w:t>)</w:t>
      </w:r>
      <w:r w:rsidRPr="00A41160">
        <w:rPr>
          <w:rFonts w:ascii="Times New Roman" w:hAnsi="Times New Roman" w:cs="Times New Roman"/>
          <w:sz w:val="24"/>
          <w:szCs w:val="24"/>
        </w:rPr>
        <w:t xml:space="preserve"> се дължи на отчетения след 2014 г. </w:t>
      </w:r>
      <w:r w:rsidR="002B5498" w:rsidRPr="00A41160">
        <w:rPr>
          <w:rFonts w:ascii="Times New Roman" w:hAnsi="Times New Roman" w:cs="Times New Roman"/>
          <w:sz w:val="24"/>
          <w:szCs w:val="24"/>
        </w:rPr>
        <w:t>драстичен</w:t>
      </w:r>
      <w:r w:rsidRPr="00A41160">
        <w:rPr>
          <w:rFonts w:ascii="Times New Roman" w:hAnsi="Times New Roman" w:cs="Times New Roman"/>
          <w:sz w:val="24"/>
          <w:szCs w:val="24"/>
        </w:rPr>
        <w:t xml:space="preserve"> спад при износа</w:t>
      </w:r>
      <w:r w:rsidR="00260658">
        <w:rPr>
          <w:rFonts w:ascii="Times New Roman" w:hAnsi="Times New Roman" w:cs="Times New Roman"/>
          <w:sz w:val="24"/>
          <w:szCs w:val="24"/>
        </w:rPr>
        <w:t xml:space="preserve"> (над 7,5</w:t>
      </w:r>
      <w:r w:rsidR="00354290" w:rsidRPr="00A41160">
        <w:rPr>
          <w:rFonts w:ascii="Times New Roman" w:hAnsi="Times New Roman" w:cs="Times New Roman"/>
          <w:sz w:val="24"/>
          <w:szCs w:val="24"/>
        </w:rPr>
        <w:t xml:space="preserve"> път</w:t>
      </w:r>
      <w:r w:rsidR="002B5498" w:rsidRPr="00A41160">
        <w:rPr>
          <w:rFonts w:ascii="Times New Roman" w:hAnsi="Times New Roman" w:cs="Times New Roman"/>
          <w:sz w:val="24"/>
          <w:szCs w:val="24"/>
        </w:rPr>
        <w:t xml:space="preserve">и намалява износа през 2023 г. </w:t>
      </w:r>
      <w:r w:rsidR="00354290" w:rsidRPr="00A41160">
        <w:rPr>
          <w:rFonts w:ascii="Times New Roman" w:hAnsi="Times New Roman" w:cs="Times New Roman"/>
          <w:sz w:val="24"/>
          <w:szCs w:val="24"/>
        </w:rPr>
        <w:t>спрямо 2014 г.)</w:t>
      </w:r>
      <w:r w:rsidRPr="00A41160">
        <w:rPr>
          <w:rFonts w:ascii="Times New Roman" w:hAnsi="Times New Roman" w:cs="Times New Roman"/>
          <w:sz w:val="24"/>
          <w:szCs w:val="24"/>
        </w:rPr>
        <w:t xml:space="preserve">. В резултат на спада </w:t>
      </w:r>
      <w:r w:rsidR="00CB2344">
        <w:rPr>
          <w:rFonts w:ascii="Times New Roman" w:hAnsi="Times New Roman" w:cs="Times New Roman"/>
          <w:sz w:val="24"/>
          <w:szCs w:val="24"/>
        </w:rPr>
        <w:t>количествата на изнесените/</w:t>
      </w:r>
      <w:r w:rsidRPr="00A41160">
        <w:rPr>
          <w:rFonts w:ascii="Times New Roman" w:hAnsi="Times New Roman" w:cs="Times New Roman"/>
          <w:sz w:val="24"/>
          <w:szCs w:val="24"/>
        </w:rPr>
        <w:t xml:space="preserve">изпратените дървени материали са достигнали </w:t>
      </w:r>
      <w:r w:rsidR="00354290" w:rsidRPr="00A41160">
        <w:rPr>
          <w:rFonts w:ascii="Times New Roman" w:hAnsi="Times New Roman" w:cs="Times New Roman"/>
          <w:sz w:val="24"/>
          <w:szCs w:val="24"/>
        </w:rPr>
        <w:t>значително</w:t>
      </w:r>
      <w:r w:rsidRPr="00A41160">
        <w:rPr>
          <w:rFonts w:ascii="Times New Roman" w:hAnsi="Times New Roman" w:cs="Times New Roman"/>
          <w:sz w:val="24"/>
          <w:szCs w:val="24"/>
        </w:rPr>
        <w:t xml:space="preserve"> по-ниски стойности през последните няколко години</w:t>
      </w:r>
      <w:r w:rsidR="009B48ED">
        <w:rPr>
          <w:rFonts w:ascii="Times New Roman" w:hAnsi="Times New Roman" w:cs="Times New Roman"/>
          <w:sz w:val="24"/>
          <w:szCs w:val="24"/>
        </w:rPr>
        <w:t>. П</w:t>
      </w:r>
      <w:r w:rsidR="0053768F" w:rsidRPr="00A41160">
        <w:rPr>
          <w:rFonts w:ascii="Times New Roman" w:hAnsi="Times New Roman" w:cs="Times New Roman"/>
          <w:sz w:val="24"/>
          <w:szCs w:val="24"/>
        </w:rPr>
        <w:t xml:space="preserve">роцентното съотношение на </w:t>
      </w:r>
      <w:r w:rsidR="0053768F" w:rsidRPr="009B48ED">
        <w:rPr>
          <w:rFonts w:ascii="Times New Roman" w:hAnsi="Times New Roman" w:cs="Times New Roman"/>
          <w:b/>
          <w:sz w:val="24"/>
          <w:szCs w:val="24"/>
        </w:rPr>
        <w:t>внесените спрямо изнесените</w:t>
      </w:r>
      <w:r w:rsidR="0053768F" w:rsidRPr="00A41160">
        <w:rPr>
          <w:rFonts w:ascii="Times New Roman" w:hAnsi="Times New Roman" w:cs="Times New Roman"/>
          <w:sz w:val="24"/>
          <w:szCs w:val="24"/>
        </w:rPr>
        <w:t xml:space="preserve"> количества дървени материали за последните две години </w:t>
      </w:r>
      <w:r w:rsidR="009B48ED">
        <w:rPr>
          <w:rFonts w:ascii="Times New Roman" w:hAnsi="Times New Roman" w:cs="Times New Roman"/>
          <w:sz w:val="24"/>
          <w:szCs w:val="24"/>
        </w:rPr>
        <w:t>е</w:t>
      </w:r>
      <w:r w:rsidR="0053768F" w:rsidRPr="00A41160">
        <w:rPr>
          <w:rFonts w:ascii="Times New Roman" w:hAnsi="Times New Roman" w:cs="Times New Roman"/>
          <w:sz w:val="24"/>
          <w:szCs w:val="24"/>
        </w:rPr>
        <w:t xml:space="preserve">: 99,94 % за 2022 г. и </w:t>
      </w:r>
      <w:r w:rsidR="006364AA" w:rsidRPr="00A41160">
        <w:rPr>
          <w:rFonts w:ascii="Times New Roman" w:hAnsi="Times New Roman" w:cs="Times New Roman"/>
          <w:sz w:val="24"/>
          <w:szCs w:val="24"/>
        </w:rPr>
        <w:t xml:space="preserve"> </w:t>
      </w:r>
      <w:r w:rsidR="0053768F" w:rsidRPr="00A41160">
        <w:rPr>
          <w:rFonts w:ascii="Times New Roman" w:hAnsi="Times New Roman" w:cs="Times New Roman"/>
          <w:sz w:val="24"/>
          <w:szCs w:val="24"/>
        </w:rPr>
        <w:t>75,98 % за 2023 г.</w:t>
      </w:r>
    </w:p>
    <w:p w:rsidR="00271D8E" w:rsidRPr="00A41160" w:rsidRDefault="00271D8E" w:rsidP="00FF7486">
      <w:pPr>
        <w:spacing w:line="302" w:lineRule="auto"/>
        <w:ind w:left="0" w:right="283"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D65FE" w:rsidRPr="00A724B5" w:rsidRDefault="0026134C" w:rsidP="00073B32">
      <w:pPr>
        <w:ind w:left="0"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724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Процентно съотношение между изнесените</w:t>
      </w:r>
      <w:r w:rsidR="00B004ED" w:rsidRPr="00A724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/</w:t>
      </w:r>
      <w:r w:rsidRPr="00A724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изпратените дървени материали и общия добив на обла лежаща дървесина в пл. куб. м.</w:t>
      </w:r>
    </w:p>
    <w:p w:rsidR="00C1542F" w:rsidRDefault="00A90DCD" w:rsidP="000F6F9F">
      <w:pPr>
        <w:spacing w:line="302" w:lineRule="auto"/>
        <w:ind w:left="0" w:right="-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0DC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 представените по-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долу</w:t>
      </w:r>
      <w:r w:rsidRPr="00A90D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на фиг. </w:t>
      </w:r>
      <w:r w:rsidR="003032A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A90D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видно, че процентното съотношение на изнесената дърве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сина</w:t>
      </w:r>
      <w:r w:rsidRPr="00A90D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двата кода спрямо действителното количество добита дървесина (обла лежаща маса) намалява от 11,14 %  през 2017 г. на 3,55 %  през 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C1542F" w:rsidRPr="00A41160" w:rsidRDefault="00C1542F" w:rsidP="00C1542F">
      <w:pPr>
        <w:spacing w:line="302" w:lineRule="auto"/>
        <w:ind w:left="0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noProof/>
          <w:lang w:eastAsia="bg-BG"/>
        </w:rPr>
        <w:drawing>
          <wp:inline distT="0" distB="0" distL="0" distR="0" wp14:anchorId="23E7F06F" wp14:editId="0EBB83F7">
            <wp:extent cx="7156450" cy="3726611"/>
            <wp:effectExtent l="0" t="0" r="6350" b="762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CD65FE" w:rsidRDefault="00CD65FE" w:rsidP="00CD65FE">
      <w:pPr>
        <w:ind w:firstLine="709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A41160">
        <w:rPr>
          <w:rFonts w:ascii="Times New Roman" w:hAnsi="Times New Roman" w:cs="Times New Roman"/>
          <w:b/>
          <w:i/>
          <w:sz w:val="20"/>
          <w:szCs w:val="20"/>
        </w:rPr>
        <w:t xml:space="preserve">Фиг. </w:t>
      </w:r>
      <w:r w:rsidR="009C3BBB">
        <w:rPr>
          <w:rFonts w:ascii="Times New Roman" w:hAnsi="Times New Roman" w:cs="Times New Roman"/>
          <w:b/>
          <w:i/>
          <w:sz w:val="20"/>
          <w:szCs w:val="20"/>
        </w:rPr>
        <w:t>5</w:t>
      </w:r>
      <w:r w:rsidRPr="00A41160">
        <w:rPr>
          <w:rFonts w:ascii="Times New Roman" w:hAnsi="Times New Roman" w:cs="Times New Roman"/>
          <w:b/>
          <w:i/>
          <w:sz w:val="20"/>
          <w:szCs w:val="20"/>
        </w:rPr>
        <w:t xml:space="preserve">.  </w:t>
      </w:r>
      <w:r w:rsidR="00E8054B" w:rsidRPr="00A41160">
        <w:rPr>
          <w:rFonts w:ascii="Times New Roman" w:hAnsi="Times New Roman" w:cs="Times New Roman"/>
          <w:b/>
          <w:i/>
          <w:sz w:val="20"/>
          <w:szCs w:val="20"/>
        </w:rPr>
        <w:t>Динамика на к</w:t>
      </w:r>
      <w:r w:rsidR="00E8054B" w:rsidRPr="00A41160">
        <w:rPr>
          <w:rFonts w:ascii="Times New Roman" w:hAnsi="Times New Roman" w:cs="Times New Roman"/>
          <w:b/>
          <w:bCs/>
          <w:i/>
          <w:sz w:val="20"/>
          <w:szCs w:val="20"/>
        </w:rPr>
        <w:t>оличествата</w:t>
      </w:r>
      <w:r w:rsidR="005F5C15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изнесени/</w:t>
      </w:r>
      <w:r w:rsidR="00E8054B" w:rsidRPr="00A41160">
        <w:rPr>
          <w:rFonts w:ascii="Times New Roman" w:hAnsi="Times New Roman" w:cs="Times New Roman"/>
          <w:b/>
          <w:bCs/>
          <w:i/>
          <w:sz w:val="20"/>
          <w:szCs w:val="20"/>
        </w:rPr>
        <w:t>изпратени</w:t>
      </w:r>
      <w:r w:rsidR="00C1542F">
        <w:rPr>
          <w:rFonts w:ascii="Times New Roman" w:hAnsi="Times New Roman" w:cs="Times New Roman"/>
          <w:b/>
          <w:bCs/>
          <w:i/>
          <w:sz w:val="20"/>
          <w:szCs w:val="20"/>
        </w:rPr>
        <w:t>, внесени/получени</w:t>
      </w:r>
      <w:r w:rsidR="00E8054B"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дървени материали  общо за двата  кода  (код 4401 + код 4403) в пл. куб. м., количества добита дървесина и процентно съотношение на износа</w:t>
      </w:r>
      <w:r w:rsidR="00C1542F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и вноса</w:t>
      </w:r>
      <w:r w:rsidR="00E8054B"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спрямо общия обем добита дървесинна, по години за периода </w:t>
      </w:r>
      <w:r w:rsidR="00837ECF" w:rsidRPr="00A41160">
        <w:rPr>
          <w:rFonts w:ascii="Times New Roman" w:hAnsi="Times New Roman" w:cs="Times New Roman"/>
          <w:b/>
          <w:bCs/>
          <w:i/>
          <w:sz w:val="20"/>
          <w:szCs w:val="20"/>
        </w:rPr>
        <w:t>от 2017 г.-2023</w:t>
      </w:r>
      <w:r w:rsidRPr="00A4116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г.</w:t>
      </w:r>
    </w:p>
    <w:p w:rsidR="00A90DCD" w:rsidRDefault="00A90DCD" w:rsidP="00CD65FE">
      <w:pPr>
        <w:ind w:firstLine="709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B004ED" w:rsidRPr="003B3BF8" w:rsidRDefault="00875E46" w:rsidP="00B004ED">
      <w:pPr>
        <w:spacing w:line="302" w:lineRule="auto"/>
        <w:ind w:left="0"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="00B004E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горе</w:t>
      </w:r>
      <w:r w:rsidR="00B004E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изложеното може да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се обобщи следното</w:t>
      </w:r>
      <w:r w:rsidR="00B004ED" w:rsidRPr="003B3B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B004ED" w:rsidRDefault="00B004ED" w:rsidP="00B004ED">
      <w:pPr>
        <w:spacing w:line="302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F062FE">
        <w:rPr>
          <w:rFonts w:ascii="Times New Roman" w:hAnsi="Times New Roman" w:cs="Times New Roman"/>
          <w:sz w:val="24"/>
          <w:szCs w:val="24"/>
        </w:rPr>
        <w:t xml:space="preserve">1. За периода </w:t>
      </w:r>
      <w:r>
        <w:rPr>
          <w:rFonts w:ascii="Times New Roman" w:hAnsi="Times New Roman" w:cs="Times New Roman"/>
          <w:sz w:val="24"/>
          <w:szCs w:val="24"/>
        </w:rPr>
        <w:t>2008 г. – 2014 г.</w:t>
      </w:r>
      <w:r w:rsidRPr="00F062FE">
        <w:rPr>
          <w:rFonts w:ascii="Times New Roman" w:hAnsi="Times New Roman" w:cs="Times New Roman"/>
          <w:sz w:val="24"/>
          <w:szCs w:val="24"/>
        </w:rPr>
        <w:t xml:space="preserve"> е очертана </w:t>
      </w:r>
      <w:r w:rsidRPr="003B3BF8">
        <w:rPr>
          <w:rFonts w:ascii="Times New Roman" w:hAnsi="Times New Roman" w:cs="Times New Roman"/>
          <w:b/>
          <w:sz w:val="24"/>
          <w:szCs w:val="24"/>
        </w:rPr>
        <w:t>нарастваща тенденция</w:t>
      </w:r>
      <w:r>
        <w:rPr>
          <w:rFonts w:ascii="Times New Roman" w:hAnsi="Times New Roman" w:cs="Times New Roman"/>
          <w:sz w:val="24"/>
          <w:szCs w:val="24"/>
        </w:rPr>
        <w:t xml:space="preserve"> на изнесен</w:t>
      </w:r>
      <w:r w:rsidR="00875E46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>/изпратен</w:t>
      </w:r>
      <w:r w:rsidR="00875E46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062FE">
        <w:rPr>
          <w:rFonts w:ascii="Times New Roman" w:hAnsi="Times New Roman" w:cs="Times New Roman"/>
          <w:sz w:val="24"/>
          <w:szCs w:val="24"/>
        </w:rPr>
        <w:t>дърве</w:t>
      </w:r>
      <w:r w:rsidR="00875E46">
        <w:rPr>
          <w:rFonts w:ascii="Times New Roman" w:hAnsi="Times New Roman" w:cs="Times New Roman"/>
          <w:sz w:val="24"/>
          <w:szCs w:val="24"/>
        </w:rPr>
        <w:t xml:space="preserve">сина и по двата кода - </w:t>
      </w:r>
      <w:r w:rsidRPr="00715AAA">
        <w:rPr>
          <w:rFonts w:ascii="Times New Roman" w:hAnsi="Times New Roman" w:cs="Times New Roman"/>
          <w:i/>
          <w:sz w:val="24"/>
          <w:szCs w:val="24"/>
        </w:rPr>
        <w:t>4401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15AAA">
        <w:rPr>
          <w:rFonts w:ascii="Times New Roman" w:hAnsi="Times New Roman" w:cs="Times New Roman"/>
          <w:i/>
          <w:sz w:val="24"/>
          <w:szCs w:val="24"/>
        </w:rPr>
        <w:t>4403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75E46">
        <w:rPr>
          <w:rFonts w:ascii="Times New Roman" w:hAnsi="Times New Roman" w:cs="Times New Roman"/>
          <w:sz w:val="24"/>
          <w:szCs w:val="24"/>
        </w:rPr>
        <w:t xml:space="preserve">като при </w:t>
      </w:r>
      <w:r w:rsidR="00875E46" w:rsidRPr="00F062FE">
        <w:rPr>
          <w:rFonts w:ascii="Times New Roman" w:hAnsi="Times New Roman" w:cs="Times New Roman"/>
          <w:sz w:val="24"/>
          <w:szCs w:val="24"/>
        </w:rPr>
        <w:t xml:space="preserve">дървата за горене </w:t>
      </w:r>
      <w:r w:rsidRPr="00F062FE">
        <w:rPr>
          <w:rFonts w:ascii="Times New Roman" w:hAnsi="Times New Roman" w:cs="Times New Roman"/>
          <w:sz w:val="24"/>
          <w:szCs w:val="24"/>
        </w:rPr>
        <w:t xml:space="preserve">увеличението </w:t>
      </w:r>
      <w:r w:rsidR="00875E4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04ED">
        <w:rPr>
          <w:rFonts w:ascii="Times New Roman" w:hAnsi="Times New Roman" w:cs="Times New Roman"/>
          <w:sz w:val="24"/>
          <w:szCs w:val="24"/>
        </w:rPr>
        <w:t>над 6,6 пъти</w:t>
      </w:r>
      <w:r w:rsidRPr="00F062FE">
        <w:rPr>
          <w:rFonts w:ascii="Times New Roman" w:hAnsi="Times New Roman" w:cs="Times New Roman"/>
          <w:i/>
          <w:sz w:val="24"/>
          <w:szCs w:val="24"/>
        </w:rPr>
        <w:t>.</w:t>
      </w:r>
    </w:p>
    <w:p w:rsidR="00B004ED" w:rsidRPr="00271D8E" w:rsidRDefault="00B004ED" w:rsidP="00B004ED">
      <w:pPr>
        <w:spacing w:line="302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875E46">
        <w:rPr>
          <w:rFonts w:ascii="Times New Roman" w:eastAsia="Times New Roman" w:hAnsi="Times New Roman" w:cs="Times New Roman"/>
          <w:color w:val="000000"/>
          <w:sz w:val="24"/>
          <w:szCs w:val="24"/>
        </w:rPr>
        <w:t>. За периода 2014</w:t>
      </w:r>
      <w:r w:rsid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0D1B4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г. </w:t>
      </w:r>
      <w:r w:rsidR="00875E46"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5A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намаляващ </w:t>
      </w:r>
      <w:r w:rsidR="00875E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тенденция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</w:t>
      </w:r>
      <w:r w:rsidR="00875E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знесените/</w:t>
      </w:r>
      <w:r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изпратените </w:t>
      </w:r>
      <w:r w:rsidR="00875E46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количества дървесина по двата кода - близо 7,5 пъти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като </w:t>
      </w:r>
      <w:r w:rsidR="00B64C7C"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="00B64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облите </w:t>
      </w:r>
      <w:r w:rsidR="00B64C7C"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>дървени</w:t>
      </w:r>
      <w:r w:rsidR="00B64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материали </w:t>
      </w:r>
      <w:r w:rsidR="000D1B4F"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>намаление</w:t>
      </w:r>
      <w:r w:rsidR="00875E46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4C7C">
        <w:rPr>
          <w:rFonts w:ascii="Times New Roman" w:eastAsia="Times New Roman" w:hAnsi="Times New Roman" w:cs="Times New Roman"/>
          <w:color w:val="000000"/>
          <w:sz w:val="24"/>
          <w:szCs w:val="24"/>
        </w:rPr>
        <w:t>е близо 44 пъти</w:t>
      </w:r>
      <w:r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53D7E" w:rsidRPr="00C82CB9" w:rsidRDefault="00B004ED" w:rsidP="00C82CB9">
      <w:pPr>
        <w:spacing w:line="302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062FE">
        <w:rPr>
          <w:rFonts w:ascii="Times New Roman" w:hAnsi="Times New Roman" w:cs="Times New Roman"/>
          <w:sz w:val="24"/>
          <w:szCs w:val="24"/>
        </w:rPr>
        <w:t xml:space="preserve">. За периода </w:t>
      </w:r>
      <w:r>
        <w:rPr>
          <w:rFonts w:ascii="Times New Roman" w:hAnsi="Times New Roman" w:cs="Times New Roman"/>
          <w:sz w:val="24"/>
          <w:szCs w:val="24"/>
        </w:rPr>
        <w:t>от 2008 г.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Pr="00F062FE">
        <w:rPr>
          <w:rFonts w:ascii="Times New Roman" w:hAnsi="Times New Roman" w:cs="Times New Roman"/>
          <w:sz w:val="24"/>
          <w:szCs w:val="24"/>
        </w:rPr>
        <w:t xml:space="preserve">2018 г. </w:t>
      </w:r>
      <w:r w:rsidR="00B64C7C">
        <w:rPr>
          <w:rFonts w:ascii="Times New Roman" w:hAnsi="Times New Roman" w:cs="Times New Roman"/>
          <w:sz w:val="24"/>
          <w:szCs w:val="24"/>
        </w:rPr>
        <w:t xml:space="preserve">след известен спад в началото на периода на </w:t>
      </w:r>
      <w:r w:rsidR="00B64C7C" w:rsidRPr="00F062FE">
        <w:rPr>
          <w:rFonts w:ascii="Times New Roman" w:hAnsi="Times New Roman" w:cs="Times New Roman"/>
          <w:sz w:val="24"/>
          <w:szCs w:val="24"/>
        </w:rPr>
        <w:t>внесените</w:t>
      </w:r>
      <w:r w:rsidR="00B64C7C">
        <w:rPr>
          <w:rFonts w:ascii="Times New Roman" w:hAnsi="Times New Roman" w:cs="Times New Roman"/>
          <w:sz w:val="24"/>
          <w:szCs w:val="24"/>
        </w:rPr>
        <w:t>/</w:t>
      </w:r>
      <w:r w:rsidR="00B64C7C" w:rsidRPr="00F062FE">
        <w:rPr>
          <w:rFonts w:ascii="Times New Roman" w:hAnsi="Times New Roman" w:cs="Times New Roman"/>
          <w:sz w:val="24"/>
          <w:szCs w:val="24"/>
        </w:rPr>
        <w:t>пристигналите количества дърве</w:t>
      </w:r>
      <w:r w:rsidR="00B64C7C">
        <w:rPr>
          <w:rFonts w:ascii="Times New Roman" w:hAnsi="Times New Roman" w:cs="Times New Roman"/>
          <w:sz w:val="24"/>
          <w:szCs w:val="24"/>
        </w:rPr>
        <w:t xml:space="preserve">сина по двата кода, от 2018 г. започва слаба тенденция на увеличение, което достига своя пик през 2022 г. (225 хил. тона), </w:t>
      </w:r>
      <w:r w:rsidRPr="00F062FE">
        <w:rPr>
          <w:rFonts w:ascii="Times New Roman" w:hAnsi="Times New Roman" w:cs="Times New Roman"/>
          <w:sz w:val="24"/>
          <w:szCs w:val="24"/>
        </w:rPr>
        <w:t xml:space="preserve"> </w:t>
      </w:r>
      <w:r w:rsidR="00B64C7C">
        <w:rPr>
          <w:rFonts w:ascii="Times New Roman" w:hAnsi="Times New Roman" w:cs="Times New Roman"/>
          <w:sz w:val="24"/>
          <w:szCs w:val="24"/>
        </w:rPr>
        <w:t>но през 2023 г. обемът отново спада под нивото на 2008 г.</w:t>
      </w:r>
      <w:r w:rsidR="00260658">
        <w:rPr>
          <w:rFonts w:ascii="Times New Roman" w:hAnsi="Times New Roman" w:cs="Times New Roman"/>
          <w:sz w:val="24"/>
          <w:szCs w:val="24"/>
        </w:rPr>
        <w:t xml:space="preserve"> </w:t>
      </w:r>
      <w:r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Средногодишният внос </w:t>
      </w:r>
      <w:r w:rsidR="00C82CB9"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</w:t>
      </w:r>
      <w:r w:rsidR="00A72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посочения </w:t>
      </w:r>
      <w:r w:rsidR="00C82CB9"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период </w:t>
      </w:r>
      <w:r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представлява около 8,</w:t>
      </w:r>
      <w:r w:rsidR="00C53D7E"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от средногодишн</w:t>
      </w:r>
      <w:r w:rsidR="00B64C7C"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>ия износ на</w:t>
      </w:r>
      <w:r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дърве</w:t>
      </w:r>
      <w:r w:rsidR="00B64C7C"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сина </w:t>
      </w:r>
      <w:r w:rsidRPr="00C82CB9">
        <w:rPr>
          <w:rFonts w:ascii="Times New Roman" w:hAnsi="Times New Roman" w:cs="Times New Roman"/>
          <w:color w:val="000000" w:themeColor="text1"/>
          <w:sz w:val="24"/>
          <w:szCs w:val="24"/>
        </w:rPr>
        <w:t>за този период</w:t>
      </w:r>
      <w:r w:rsidR="00A724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004ED" w:rsidRDefault="00B004ED" w:rsidP="00B004ED">
      <w:pPr>
        <w:spacing w:line="302" w:lineRule="auto"/>
        <w:ind w:left="0" w:right="28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062F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062FE">
        <w:rPr>
          <w:rFonts w:ascii="Times New Roman" w:hAnsi="Times New Roman" w:cs="Times New Roman"/>
          <w:sz w:val="24"/>
          <w:szCs w:val="24"/>
        </w:rPr>
        <w:t xml:space="preserve"> През 2022 г. и 20</w:t>
      </w:r>
      <w:r w:rsidR="00C53D7E">
        <w:rPr>
          <w:rFonts w:ascii="Times New Roman" w:hAnsi="Times New Roman" w:cs="Times New Roman"/>
          <w:sz w:val="24"/>
          <w:szCs w:val="24"/>
        </w:rPr>
        <w:t>23 г. количествата на внесените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F062FE">
        <w:rPr>
          <w:rFonts w:ascii="Times New Roman" w:hAnsi="Times New Roman" w:cs="Times New Roman"/>
          <w:sz w:val="24"/>
          <w:szCs w:val="24"/>
        </w:rPr>
        <w:t>пристигналите дървени материали общо по двата кода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почти изравнени с тези на изнесените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</w:rPr>
        <w:t>изпратените.</w:t>
      </w:r>
    </w:p>
    <w:p w:rsidR="000D1B4F" w:rsidRDefault="000D1B4F" w:rsidP="000D1B4F">
      <w:pPr>
        <w:spacing w:line="302" w:lineRule="auto"/>
        <w:ind w:left="0" w:right="-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Делът на изнесените/изпратените дървени материали, спрямо </w:t>
      </w:r>
      <w:r w:rsidR="005F5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общото количество добита </w:t>
      </w:r>
      <w:r w:rsidR="005F5C15" w:rsidRP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дървесина </w:t>
      </w:r>
      <w:r w:rsidR="00C53D7E" w:rsidRPr="000F6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горски територии </w:t>
      </w:r>
      <w:r w:rsidR="005F5C15" w:rsidRPr="000F6F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0F6F9F"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 w:rsidRP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лежаща</w:t>
      </w:r>
      <w:r w:rsidR="005F5C1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</w:t>
      </w:r>
      <w:r w:rsidR="00C53D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куб. м. е </w:t>
      </w:r>
      <w:r w:rsidR="005C6665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сравнително малък</w:t>
      </w:r>
      <w:r w:rsidR="00C53D7E">
        <w:rPr>
          <w:rFonts w:ascii="Times New Roman" w:eastAsia="Times New Roman" w:hAnsi="Times New Roman" w:cs="Times New Roman"/>
          <w:color w:val="000000"/>
          <w:sz w:val="24"/>
          <w:szCs w:val="24"/>
        </w:rPr>
        <w:t>, като п</w:t>
      </w:r>
      <w:r w:rsidRP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>рез последните няколко години съотношение</w:t>
      </w:r>
      <w:r w:rsidR="005F5C15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0D1B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непрекъснато намалява и за 2023 г. е едва 3,6 %.</w:t>
      </w:r>
    </w:p>
    <w:p w:rsidR="00C53D7E" w:rsidRDefault="00C53D7E" w:rsidP="000F6F9F">
      <w:pPr>
        <w:spacing w:line="302" w:lineRule="auto"/>
        <w:ind w:left="0" w:right="-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C53D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Обемът на средногодишния внос </w:t>
      </w:r>
      <w:r w:rsidRPr="000F6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0F6F9F" w:rsidRPr="000F6F9F">
        <w:rPr>
          <w:rFonts w:ascii="Times New Roman" w:eastAsia="Times New Roman" w:hAnsi="Times New Roman" w:cs="Times New Roman"/>
          <w:color w:val="000000"/>
          <w:sz w:val="24"/>
          <w:szCs w:val="24"/>
        </w:rPr>
        <w:t>2,16</w:t>
      </w:r>
      <w:r w:rsidRPr="000F6F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 от обема</w:t>
      </w:r>
      <w:r w:rsidRPr="00C53D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средногодишния добив на дървесина от горски територии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разглеждания период</w:t>
      </w:r>
      <w:r w:rsidRPr="00C53D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C53D7E" w:rsidSect="00A41160">
      <w:footerReference w:type="default" r:id="rId12"/>
      <w:pgSz w:w="12240" w:h="15840" w:code="1"/>
      <w:pgMar w:top="851" w:right="618" w:bottom="0" w:left="567" w:header="720" w:footer="3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8FE" w:rsidRDefault="00E038FE" w:rsidP="00492DFC">
      <w:r>
        <w:separator/>
      </w:r>
    </w:p>
  </w:endnote>
  <w:endnote w:type="continuationSeparator" w:id="0">
    <w:p w:rsidR="00E038FE" w:rsidRDefault="00E038FE" w:rsidP="0049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9009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180" w:rsidRDefault="00A451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9C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45180" w:rsidRDefault="00A451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8FE" w:rsidRDefault="00E038FE" w:rsidP="00492DFC">
      <w:r>
        <w:separator/>
      </w:r>
    </w:p>
  </w:footnote>
  <w:footnote w:type="continuationSeparator" w:id="0">
    <w:p w:rsidR="00E038FE" w:rsidRDefault="00E038FE" w:rsidP="00492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80F16"/>
    <w:multiLevelType w:val="hybridMultilevel"/>
    <w:tmpl w:val="AC70E384"/>
    <w:lvl w:ilvl="0" w:tplc="4D342D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44273B"/>
    <w:multiLevelType w:val="hybridMultilevel"/>
    <w:tmpl w:val="01D81E34"/>
    <w:lvl w:ilvl="0" w:tplc="3C0CF6E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7872B7"/>
    <w:multiLevelType w:val="hybridMultilevel"/>
    <w:tmpl w:val="E98C54BC"/>
    <w:lvl w:ilvl="0" w:tplc="E69225F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805B9D"/>
    <w:multiLevelType w:val="hybridMultilevel"/>
    <w:tmpl w:val="BD946312"/>
    <w:lvl w:ilvl="0" w:tplc="65BA2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4938E5"/>
    <w:multiLevelType w:val="hybridMultilevel"/>
    <w:tmpl w:val="9B5A7C3A"/>
    <w:lvl w:ilvl="0" w:tplc="FC144ED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085890"/>
    <w:multiLevelType w:val="hybridMultilevel"/>
    <w:tmpl w:val="8670F6DA"/>
    <w:lvl w:ilvl="0" w:tplc="196A6E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A856A8"/>
    <w:multiLevelType w:val="hybridMultilevel"/>
    <w:tmpl w:val="DFFEC97A"/>
    <w:lvl w:ilvl="0" w:tplc="4D2015A6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3B"/>
    <w:rsid w:val="0000115C"/>
    <w:rsid w:val="000017CD"/>
    <w:rsid w:val="00006FB5"/>
    <w:rsid w:val="00012F96"/>
    <w:rsid w:val="00015897"/>
    <w:rsid w:val="00027008"/>
    <w:rsid w:val="00042B83"/>
    <w:rsid w:val="00052C05"/>
    <w:rsid w:val="00054E31"/>
    <w:rsid w:val="00071CF4"/>
    <w:rsid w:val="00073B32"/>
    <w:rsid w:val="0008587E"/>
    <w:rsid w:val="000918B1"/>
    <w:rsid w:val="000A21EA"/>
    <w:rsid w:val="000C0245"/>
    <w:rsid w:val="000C21C4"/>
    <w:rsid w:val="000C454C"/>
    <w:rsid w:val="000D1B4F"/>
    <w:rsid w:val="000E15E8"/>
    <w:rsid w:val="000F2169"/>
    <w:rsid w:val="000F6692"/>
    <w:rsid w:val="000F6F9F"/>
    <w:rsid w:val="00110D2F"/>
    <w:rsid w:val="00114424"/>
    <w:rsid w:val="001173D3"/>
    <w:rsid w:val="0012015F"/>
    <w:rsid w:val="00121899"/>
    <w:rsid w:val="0013149A"/>
    <w:rsid w:val="0013705E"/>
    <w:rsid w:val="00140B2B"/>
    <w:rsid w:val="0014267F"/>
    <w:rsid w:val="00153023"/>
    <w:rsid w:val="00153464"/>
    <w:rsid w:val="00170891"/>
    <w:rsid w:val="0018330D"/>
    <w:rsid w:val="001A04CC"/>
    <w:rsid w:val="001F3194"/>
    <w:rsid w:val="00211FE3"/>
    <w:rsid w:val="00212EA5"/>
    <w:rsid w:val="002137CA"/>
    <w:rsid w:val="002231C3"/>
    <w:rsid w:val="00224053"/>
    <w:rsid w:val="002300E1"/>
    <w:rsid w:val="0023165F"/>
    <w:rsid w:val="00232B59"/>
    <w:rsid w:val="00255109"/>
    <w:rsid w:val="00256AFC"/>
    <w:rsid w:val="00260658"/>
    <w:rsid w:val="00260A8D"/>
    <w:rsid w:val="0026134C"/>
    <w:rsid w:val="00266DD0"/>
    <w:rsid w:val="00271D8E"/>
    <w:rsid w:val="0028124E"/>
    <w:rsid w:val="00285237"/>
    <w:rsid w:val="00285E30"/>
    <w:rsid w:val="002A7B9A"/>
    <w:rsid w:val="002B5498"/>
    <w:rsid w:val="002C29E5"/>
    <w:rsid w:val="002C694A"/>
    <w:rsid w:val="002C7219"/>
    <w:rsid w:val="002D26D9"/>
    <w:rsid w:val="002D4584"/>
    <w:rsid w:val="003032A3"/>
    <w:rsid w:val="00303425"/>
    <w:rsid w:val="00305AF9"/>
    <w:rsid w:val="003102C5"/>
    <w:rsid w:val="00321C1D"/>
    <w:rsid w:val="00334469"/>
    <w:rsid w:val="0033641B"/>
    <w:rsid w:val="00340CC0"/>
    <w:rsid w:val="00346213"/>
    <w:rsid w:val="00354290"/>
    <w:rsid w:val="00356788"/>
    <w:rsid w:val="00365AEE"/>
    <w:rsid w:val="00366F50"/>
    <w:rsid w:val="0037253D"/>
    <w:rsid w:val="00372CFE"/>
    <w:rsid w:val="0037725A"/>
    <w:rsid w:val="00392C02"/>
    <w:rsid w:val="00396F41"/>
    <w:rsid w:val="003A0CE3"/>
    <w:rsid w:val="003B3BF8"/>
    <w:rsid w:val="003B744F"/>
    <w:rsid w:val="004139F5"/>
    <w:rsid w:val="00423029"/>
    <w:rsid w:val="00425F9F"/>
    <w:rsid w:val="00440D42"/>
    <w:rsid w:val="00456FFE"/>
    <w:rsid w:val="00470D26"/>
    <w:rsid w:val="004735A1"/>
    <w:rsid w:val="0047390A"/>
    <w:rsid w:val="0047774F"/>
    <w:rsid w:val="00482998"/>
    <w:rsid w:val="00487C2F"/>
    <w:rsid w:val="00492724"/>
    <w:rsid w:val="00492DFC"/>
    <w:rsid w:val="004B2751"/>
    <w:rsid w:val="004B618A"/>
    <w:rsid w:val="004C334B"/>
    <w:rsid w:val="004D41E5"/>
    <w:rsid w:val="00500048"/>
    <w:rsid w:val="00523F10"/>
    <w:rsid w:val="0053134C"/>
    <w:rsid w:val="00531EED"/>
    <w:rsid w:val="0053768F"/>
    <w:rsid w:val="00546B85"/>
    <w:rsid w:val="0055138C"/>
    <w:rsid w:val="00554FD4"/>
    <w:rsid w:val="00576F19"/>
    <w:rsid w:val="005838DC"/>
    <w:rsid w:val="005857E0"/>
    <w:rsid w:val="0058643C"/>
    <w:rsid w:val="00591EF2"/>
    <w:rsid w:val="005B2774"/>
    <w:rsid w:val="005C1379"/>
    <w:rsid w:val="005C6665"/>
    <w:rsid w:val="005D3AF5"/>
    <w:rsid w:val="005E31DA"/>
    <w:rsid w:val="005F5C15"/>
    <w:rsid w:val="00605505"/>
    <w:rsid w:val="00607557"/>
    <w:rsid w:val="006140AA"/>
    <w:rsid w:val="00625FB4"/>
    <w:rsid w:val="00626178"/>
    <w:rsid w:val="006340E4"/>
    <w:rsid w:val="006364AA"/>
    <w:rsid w:val="00636AE5"/>
    <w:rsid w:val="00664D85"/>
    <w:rsid w:val="00665FC3"/>
    <w:rsid w:val="0068181D"/>
    <w:rsid w:val="006831D8"/>
    <w:rsid w:val="00687C73"/>
    <w:rsid w:val="00692EE7"/>
    <w:rsid w:val="0069415E"/>
    <w:rsid w:val="006A281A"/>
    <w:rsid w:val="006B47FF"/>
    <w:rsid w:val="006C2B22"/>
    <w:rsid w:val="006C31EC"/>
    <w:rsid w:val="006D3A78"/>
    <w:rsid w:val="006D5C2B"/>
    <w:rsid w:val="006D7766"/>
    <w:rsid w:val="006E1E55"/>
    <w:rsid w:val="006E235B"/>
    <w:rsid w:val="006F0213"/>
    <w:rsid w:val="006F7362"/>
    <w:rsid w:val="00702B77"/>
    <w:rsid w:val="00711DBE"/>
    <w:rsid w:val="00715AAA"/>
    <w:rsid w:val="007227B4"/>
    <w:rsid w:val="00785356"/>
    <w:rsid w:val="007972D5"/>
    <w:rsid w:val="007A227F"/>
    <w:rsid w:val="007B50D3"/>
    <w:rsid w:val="007B6FF3"/>
    <w:rsid w:val="007C4835"/>
    <w:rsid w:val="007C5302"/>
    <w:rsid w:val="007E27EE"/>
    <w:rsid w:val="007E6F64"/>
    <w:rsid w:val="00822267"/>
    <w:rsid w:val="008222A4"/>
    <w:rsid w:val="00822761"/>
    <w:rsid w:val="00835411"/>
    <w:rsid w:val="00837ECF"/>
    <w:rsid w:val="008477D4"/>
    <w:rsid w:val="008478BB"/>
    <w:rsid w:val="008516E5"/>
    <w:rsid w:val="008634AE"/>
    <w:rsid w:val="00875E46"/>
    <w:rsid w:val="008820D7"/>
    <w:rsid w:val="00885170"/>
    <w:rsid w:val="0088699F"/>
    <w:rsid w:val="00891D42"/>
    <w:rsid w:val="008A1428"/>
    <w:rsid w:val="008A41C8"/>
    <w:rsid w:val="008B540E"/>
    <w:rsid w:val="008D0570"/>
    <w:rsid w:val="008D1268"/>
    <w:rsid w:val="008D2C4E"/>
    <w:rsid w:val="008F4164"/>
    <w:rsid w:val="00925B5E"/>
    <w:rsid w:val="009273DF"/>
    <w:rsid w:val="00932967"/>
    <w:rsid w:val="009471E1"/>
    <w:rsid w:val="00947592"/>
    <w:rsid w:val="009529CE"/>
    <w:rsid w:val="00954709"/>
    <w:rsid w:val="009571CF"/>
    <w:rsid w:val="0096008A"/>
    <w:rsid w:val="00962775"/>
    <w:rsid w:val="009628D9"/>
    <w:rsid w:val="00962CEA"/>
    <w:rsid w:val="00963D9D"/>
    <w:rsid w:val="00964BE9"/>
    <w:rsid w:val="00970853"/>
    <w:rsid w:val="00984B84"/>
    <w:rsid w:val="0099011B"/>
    <w:rsid w:val="009A4F9D"/>
    <w:rsid w:val="009B48ED"/>
    <w:rsid w:val="009B6461"/>
    <w:rsid w:val="009C3AA8"/>
    <w:rsid w:val="009C3BBB"/>
    <w:rsid w:val="009C485E"/>
    <w:rsid w:val="009C7878"/>
    <w:rsid w:val="009D3F31"/>
    <w:rsid w:val="009E0421"/>
    <w:rsid w:val="009E1968"/>
    <w:rsid w:val="009E2F0A"/>
    <w:rsid w:val="009E4130"/>
    <w:rsid w:val="009F0014"/>
    <w:rsid w:val="00A03A6D"/>
    <w:rsid w:val="00A21C20"/>
    <w:rsid w:val="00A26954"/>
    <w:rsid w:val="00A3134D"/>
    <w:rsid w:val="00A41160"/>
    <w:rsid w:val="00A45180"/>
    <w:rsid w:val="00A5474A"/>
    <w:rsid w:val="00A55556"/>
    <w:rsid w:val="00A724B5"/>
    <w:rsid w:val="00A8715B"/>
    <w:rsid w:val="00A902DB"/>
    <w:rsid w:val="00A90DCD"/>
    <w:rsid w:val="00A96696"/>
    <w:rsid w:val="00AA0779"/>
    <w:rsid w:val="00AA413E"/>
    <w:rsid w:val="00AA70D5"/>
    <w:rsid w:val="00AB223E"/>
    <w:rsid w:val="00AB387C"/>
    <w:rsid w:val="00AC024F"/>
    <w:rsid w:val="00AD618E"/>
    <w:rsid w:val="00AF47E2"/>
    <w:rsid w:val="00AF7F27"/>
    <w:rsid w:val="00B00173"/>
    <w:rsid w:val="00B004ED"/>
    <w:rsid w:val="00B05D3B"/>
    <w:rsid w:val="00B0664A"/>
    <w:rsid w:val="00B1037D"/>
    <w:rsid w:val="00B170A0"/>
    <w:rsid w:val="00B401B8"/>
    <w:rsid w:val="00B50052"/>
    <w:rsid w:val="00B545A1"/>
    <w:rsid w:val="00B633DE"/>
    <w:rsid w:val="00B64C7C"/>
    <w:rsid w:val="00B81C95"/>
    <w:rsid w:val="00BA5499"/>
    <w:rsid w:val="00BB11BF"/>
    <w:rsid w:val="00BB2F04"/>
    <w:rsid w:val="00BB62AF"/>
    <w:rsid w:val="00BD6009"/>
    <w:rsid w:val="00BE5C4D"/>
    <w:rsid w:val="00BE5DCE"/>
    <w:rsid w:val="00BF12C9"/>
    <w:rsid w:val="00C02299"/>
    <w:rsid w:val="00C102AE"/>
    <w:rsid w:val="00C103EC"/>
    <w:rsid w:val="00C1542F"/>
    <w:rsid w:val="00C27EB4"/>
    <w:rsid w:val="00C308B2"/>
    <w:rsid w:val="00C34B4B"/>
    <w:rsid w:val="00C359F2"/>
    <w:rsid w:val="00C53D7E"/>
    <w:rsid w:val="00C54377"/>
    <w:rsid w:val="00C54A72"/>
    <w:rsid w:val="00C57FE9"/>
    <w:rsid w:val="00C675E8"/>
    <w:rsid w:val="00C80D91"/>
    <w:rsid w:val="00C82CB9"/>
    <w:rsid w:val="00C9274B"/>
    <w:rsid w:val="00C97800"/>
    <w:rsid w:val="00CB104B"/>
    <w:rsid w:val="00CB2344"/>
    <w:rsid w:val="00CB3BA5"/>
    <w:rsid w:val="00CB5101"/>
    <w:rsid w:val="00CC0ADB"/>
    <w:rsid w:val="00CC2653"/>
    <w:rsid w:val="00CD316E"/>
    <w:rsid w:val="00CD65FE"/>
    <w:rsid w:val="00CE62BF"/>
    <w:rsid w:val="00CF4367"/>
    <w:rsid w:val="00D04D8A"/>
    <w:rsid w:val="00D05E81"/>
    <w:rsid w:val="00D11083"/>
    <w:rsid w:val="00D122C9"/>
    <w:rsid w:val="00D12352"/>
    <w:rsid w:val="00D14EA3"/>
    <w:rsid w:val="00D33985"/>
    <w:rsid w:val="00D43793"/>
    <w:rsid w:val="00D6765A"/>
    <w:rsid w:val="00D77E0C"/>
    <w:rsid w:val="00D84A98"/>
    <w:rsid w:val="00D97C99"/>
    <w:rsid w:val="00DA7CF6"/>
    <w:rsid w:val="00DB111C"/>
    <w:rsid w:val="00DC0F72"/>
    <w:rsid w:val="00DC1F79"/>
    <w:rsid w:val="00DD2AA6"/>
    <w:rsid w:val="00E01ECC"/>
    <w:rsid w:val="00E038FE"/>
    <w:rsid w:val="00E053DF"/>
    <w:rsid w:val="00E11CF4"/>
    <w:rsid w:val="00E14AF7"/>
    <w:rsid w:val="00E2767D"/>
    <w:rsid w:val="00E30F83"/>
    <w:rsid w:val="00E33E8A"/>
    <w:rsid w:val="00E664FC"/>
    <w:rsid w:val="00E74F3A"/>
    <w:rsid w:val="00E8054B"/>
    <w:rsid w:val="00E90460"/>
    <w:rsid w:val="00E91CE6"/>
    <w:rsid w:val="00E93346"/>
    <w:rsid w:val="00EA7B3F"/>
    <w:rsid w:val="00EB584B"/>
    <w:rsid w:val="00ED4F85"/>
    <w:rsid w:val="00EE3F16"/>
    <w:rsid w:val="00EF6D60"/>
    <w:rsid w:val="00F053EB"/>
    <w:rsid w:val="00F062FE"/>
    <w:rsid w:val="00F07DB2"/>
    <w:rsid w:val="00F35970"/>
    <w:rsid w:val="00F37358"/>
    <w:rsid w:val="00F425D2"/>
    <w:rsid w:val="00F440AE"/>
    <w:rsid w:val="00F44DA6"/>
    <w:rsid w:val="00F456CF"/>
    <w:rsid w:val="00F52664"/>
    <w:rsid w:val="00F64EB1"/>
    <w:rsid w:val="00F65A15"/>
    <w:rsid w:val="00F67692"/>
    <w:rsid w:val="00F8177E"/>
    <w:rsid w:val="00F85151"/>
    <w:rsid w:val="00F87261"/>
    <w:rsid w:val="00F907F5"/>
    <w:rsid w:val="00F9113A"/>
    <w:rsid w:val="00F93E20"/>
    <w:rsid w:val="00F94FA1"/>
    <w:rsid w:val="00F96CEA"/>
    <w:rsid w:val="00FC203E"/>
    <w:rsid w:val="00FC6C6D"/>
    <w:rsid w:val="00FD0415"/>
    <w:rsid w:val="00FD1E72"/>
    <w:rsid w:val="00FD7603"/>
    <w:rsid w:val="00FE692A"/>
    <w:rsid w:val="00FE75E5"/>
    <w:rsid w:val="00FF5F6D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C833CC-A40D-468D-BD7E-D3AC69E1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D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57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E0"/>
    <w:rPr>
      <w:rFonts w:ascii="Segoe UI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nhideWhenUsed/>
    <w:rsid w:val="00492DF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492D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492D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DFC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0017CD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6C31EC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31EC"/>
    <w:pPr>
      <w:ind w:left="0"/>
      <w:jc w:val="left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1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3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&#1074;&#1085;&#1086;&#1089;%20&#1080;&#1079;&#1085;&#1086;&#1089;%20&#1050;&#1086;&#1076;&#1086;&#1074;&#1077;_razd44_2008-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&#1074;&#1085;&#1086;&#1089;%20&#1080;&#1079;&#1085;&#1086;&#1089;%20&#1050;&#1086;&#1076;&#1086;&#1074;&#1077;_razd44_2008-202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&#1074;&#1085;&#1086;&#1089;%20&#1080;&#1079;&#1085;&#1086;&#1089;%20&#1050;&#1086;&#1076;&#1086;&#1074;&#1077;_razd44_2008-202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&#1074;&#1085;&#1086;&#1089;%20&#1080;&#1079;&#1085;&#1086;&#1089;%20&#1050;&#1086;&#1076;&#1086;&#1074;&#1077;_razd44_2008-2023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560Kutina\Desktop\&#1052;&#1048;&#1050;&#1057;&#1048;\1&#1057;&#1088;.%20&#1094;&#1077;&#1085;&#1080;%20&#1087;&#1086;%20&#1082;&#1072;&#1090;&#1077;&#1075;&#1086;&#1088;&#1080;&#1080;%20&#1079;&#1072;%202017-2023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273584371711917"/>
          <c:y val="0.10598471464454914"/>
          <c:w val="0.66726415628288083"/>
          <c:h val="0.73658711684175726"/>
        </c:manualLayout>
      </c:layout>
      <c:lineChart>
        <c:grouping val="standard"/>
        <c:varyColors val="0"/>
        <c:ser>
          <c:idx val="0"/>
          <c:order val="0"/>
          <c:tx>
            <c:strRef>
              <c:f>'износ_2008-2023,кг,тон, куб. м.'!$A$8</c:f>
              <c:strCache>
                <c:ptCount val="1"/>
                <c:pt idx="0">
                  <c:v>44 ДЪРВЕН МАТЕРИАЛ в тон</c:v>
                </c:pt>
              </c:strCache>
            </c:strRef>
          </c:tx>
          <c:spPr>
            <a:ln w="3175" cap="rnd">
              <a:solidFill>
                <a:srgbClr val="FF0000"/>
              </a:solidFill>
              <a:prstDash val="solid"/>
              <a:round/>
            </a:ln>
            <a:effectLst/>
          </c:spPr>
          <c:marker>
            <c:symbol val="none"/>
          </c:marker>
          <c:cat>
            <c:numRef>
              <c:f>'износ_2008-2023,кг,тон, куб. м.'!$B$3:$Q$3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'износ_2008-2023,кг,тон, куб. м.'!$B$8:$Q$8</c:f>
              <c:numCache>
                <c:formatCode>#,##0</c:formatCode>
                <c:ptCount val="16"/>
                <c:pt idx="0">
                  <c:v>768761.71681599994</c:v>
                </c:pt>
                <c:pt idx="1">
                  <c:v>863097.63847000001</c:v>
                </c:pt>
                <c:pt idx="2">
                  <c:v>1201327.1218089999</c:v>
                </c:pt>
                <c:pt idx="3">
                  <c:v>1519185.1803239998</c:v>
                </c:pt>
                <c:pt idx="4">
                  <c:v>1566475.3125999998</c:v>
                </c:pt>
                <c:pt idx="5">
                  <c:v>1403818.731838</c:v>
                </c:pt>
                <c:pt idx="6">
                  <c:v>1918229.7045520002</c:v>
                </c:pt>
                <c:pt idx="7">
                  <c:v>1575158.5459050001</c:v>
                </c:pt>
                <c:pt idx="8">
                  <c:v>1208852.7794319999</c:v>
                </c:pt>
                <c:pt idx="9">
                  <c:v>1304356.8361240001</c:v>
                </c:pt>
                <c:pt idx="10">
                  <c:v>1094038.5240840001</c:v>
                </c:pt>
                <c:pt idx="11">
                  <c:v>1056389.8881870001</c:v>
                </c:pt>
                <c:pt idx="12">
                  <c:v>1018690.644725</c:v>
                </c:pt>
                <c:pt idx="13">
                  <c:v>1091492.5995499999</c:v>
                </c:pt>
                <c:pt idx="14">
                  <c:v>840005.26599100011</c:v>
                </c:pt>
                <c:pt idx="15">
                  <c:v>707381.21545599995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'износ_2008-2023,кг,тон, куб. м.'!$A$9</c:f>
              <c:strCache>
                <c:ptCount val="1"/>
                <c:pt idx="0">
                  <c:v>4401 Дърва за горене под формата на трупчета в тон</c:v>
                </c:pt>
              </c:strCache>
            </c:strRef>
          </c:tx>
          <c:spPr>
            <a:ln w="31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6"/>
              <c:layout>
                <c:manualLayout>
                  <c:x val="-0.19033417469620831"/>
                  <c:y val="-0.11703936481426341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износ на дървени материали по код 4401 за </a:t>
                    </a:r>
                    <a:fld id="{CA91F3C2-D84F-4177-8504-1D93AA748425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/>
                      <a:t> г. </a:t>
                    </a:r>
                    <a:fld id="{8C90406A-B256-437C-8535-8E5BEE5B0117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ED7D31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346003045915556"/>
                      <c:h val="0.13969995780823574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ED7D31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'износ_2008-2023,кг,тон, куб. м.'!$B$3:$Q$3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'износ_2008-2023,кг,тон, куб. м.'!$B$9:$Q$9</c:f>
              <c:numCache>
                <c:formatCode>#,##0</c:formatCode>
                <c:ptCount val="16"/>
                <c:pt idx="0">
                  <c:v>109143.34052</c:v>
                </c:pt>
                <c:pt idx="1">
                  <c:v>97215.592260000005</c:v>
                </c:pt>
                <c:pt idx="2">
                  <c:v>219217.23234000002</c:v>
                </c:pt>
                <c:pt idx="3">
                  <c:v>406802.00033000001</c:v>
                </c:pt>
                <c:pt idx="4">
                  <c:v>497597.11670000001</c:v>
                </c:pt>
                <c:pt idx="5">
                  <c:v>472300.01005000004</c:v>
                </c:pt>
                <c:pt idx="6">
                  <c:v>720670.74323000002</c:v>
                </c:pt>
                <c:pt idx="7">
                  <c:v>652756.03629999992</c:v>
                </c:pt>
                <c:pt idx="8">
                  <c:v>413568.13764999999</c:v>
                </c:pt>
                <c:pt idx="9">
                  <c:v>523058.43229000003</c:v>
                </c:pt>
                <c:pt idx="10">
                  <c:v>405247.77737999998</c:v>
                </c:pt>
                <c:pt idx="11">
                  <c:v>404585.76831999997</c:v>
                </c:pt>
                <c:pt idx="12">
                  <c:v>319400.33160000003</c:v>
                </c:pt>
                <c:pt idx="13">
                  <c:v>277221.47380000004</c:v>
                </c:pt>
                <c:pt idx="14">
                  <c:v>205286.28574000002</c:v>
                </c:pt>
                <c:pt idx="15">
                  <c:v>151211.97558000003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'износ_2008-2023,кг,тон, куб. м.'!$A$10</c:f>
              <c:strCache>
                <c:ptCount val="1"/>
                <c:pt idx="0">
                  <c:v>4403 Необработен дървен материал в тон</c:v>
                </c:pt>
              </c:strCache>
            </c:strRef>
          </c:tx>
          <c:spPr>
            <a:ln w="3175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dLbls>
            <c:dLbl>
              <c:idx val="6"/>
              <c:layout>
                <c:manualLayout>
                  <c:x val="6.569157367226891E-2"/>
                  <c:y val="-0.1631632582018181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износ на дървени матерали по код 4403 за </a:t>
                    </a:r>
                    <a:fld id="{018485C9-3E55-48B2-AF37-7ED2A8701F57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/>
                      <a:t> г. </a:t>
                    </a:r>
                    <a:fld id="{A9A5D3CC-4183-4FDE-8E5E-55462066B14E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  <a:p>
                    <a:pPr>
                      <a:defRPr/>
                    </a:pPr>
                    <a:endParaRPr lang="bg-BG"/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92D05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6537593294665323"/>
                      <c:h val="9.6627329225718817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92D05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'износ_2008-2023,кг,тон, куб. м.'!$B$3:$Q$3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'износ_2008-2023,кг,тон, куб. м.'!$B$10:$Q$10</c:f>
              <c:numCache>
                <c:formatCode>#,##0</c:formatCode>
                <c:ptCount val="16"/>
                <c:pt idx="0">
                  <c:v>247063.54699999999</c:v>
                </c:pt>
                <c:pt idx="1">
                  <c:v>203386.633</c:v>
                </c:pt>
                <c:pt idx="2">
                  <c:v>423306.20850000001</c:v>
                </c:pt>
                <c:pt idx="3">
                  <c:v>411955.45435000001</c:v>
                </c:pt>
                <c:pt idx="4">
                  <c:v>415624.39152999996</c:v>
                </c:pt>
                <c:pt idx="5">
                  <c:v>246898.68737</c:v>
                </c:pt>
                <c:pt idx="6">
                  <c:v>493903.35076</c:v>
                </c:pt>
                <c:pt idx="7">
                  <c:v>200139.25519999999</c:v>
                </c:pt>
                <c:pt idx="8">
                  <c:v>161938.91916999998</c:v>
                </c:pt>
                <c:pt idx="9">
                  <c:v>152928.43862999999</c:v>
                </c:pt>
                <c:pt idx="10">
                  <c:v>148151.0778</c:v>
                </c:pt>
                <c:pt idx="11">
                  <c:v>91902.478860000003</c:v>
                </c:pt>
                <c:pt idx="12">
                  <c:v>80771.761859999999</c:v>
                </c:pt>
                <c:pt idx="13">
                  <c:v>59347.144</c:v>
                </c:pt>
                <c:pt idx="14">
                  <c:v>20111.511440000002</c:v>
                </c:pt>
                <c:pt idx="15">
                  <c:v>11322.035199999998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'износ_2008-2023,кг,тон, куб. м.'!$A$11</c:f>
              <c:strCache>
                <c:ptCount val="1"/>
                <c:pt idx="0">
                  <c:v>4401+4403</c:v>
                </c:pt>
              </c:strCache>
            </c:strRef>
          </c:tx>
          <c:spPr>
            <a:ln w="31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1.3746296116277647E-2"/>
                  <c:y val="-0.49538774587384127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износ на дървени материали общо по код –(4401 +4403) за </a:t>
                    </a:r>
                    <a:fld id="{47B94A22-E9C3-476D-B216-D7B68EE0FA25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/>
                      <a:t> г.; </a:t>
                    </a:r>
                    <a:fld id="{96212CFD-01BE-4520-AAA0-F55E52F0A50B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581093001234927"/>
                      <c:h val="0.16268895056442609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2.0329477742726955E-2"/>
                  <c:y val="-0.20807013294693325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5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износ на дървени материали общо по код (4401 +4403) за 2014 г.; </a:t>
                    </a:r>
                    <a:fld id="{F0584D26-1AB2-483F-AD7B-120D3CB03401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5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391945486309479"/>
                      <c:h val="0.15997298746144795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5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'износ_2008-2023,кг,тон, куб. м.'!$B$3:$Q$3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'износ_2008-2023,кг,тон, куб. м.'!$B$11:$Q$11</c:f>
              <c:numCache>
                <c:formatCode>#,##0</c:formatCode>
                <c:ptCount val="16"/>
                <c:pt idx="0">
                  <c:v>356206.88751999999</c:v>
                </c:pt>
                <c:pt idx="1">
                  <c:v>300602.22525999998</c:v>
                </c:pt>
                <c:pt idx="2">
                  <c:v>642523.44084000005</c:v>
                </c:pt>
                <c:pt idx="3">
                  <c:v>818757.45468000008</c:v>
                </c:pt>
                <c:pt idx="4">
                  <c:v>913221.50823000004</c:v>
                </c:pt>
                <c:pt idx="5">
                  <c:v>719198.6974200001</c:v>
                </c:pt>
                <c:pt idx="6">
                  <c:v>1214574.09399</c:v>
                </c:pt>
                <c:pt idx="7">
                  <c:v>852895.29150000005</c:v>
                </c:pt>
                <c:pt idx="8">
                  <c:v>575507.05681999994</c:v>
                </c:pt>
                <c:pt idx="9">
                  <c:v>675986.87092000013</c:v>
                </c:pt>
                <c:pt idx="10">
                  <c:v>553398.85518000007</c:v>
                </c:pt>
                <c:pt idx="11">
                  <c:v>496488.24718000001</c:v>
                </c:pt>
                <c:pt idx="12">
                  <c:v>400172.09346000006</c:v>
                </c:pt>
                <c:pt idx="13">
                  <c:v>336568.61780000001</c:v>
                </c:pt>
                <c:pt idx="14">
                  <c:v>225397.79717999999</c:v>
                </c:pt>
                <c:pt idx="15">
                  <c:v>162534.01078000001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385881696"/>
        <c:axId val="-385876800"/>
      </c:lineChart>
      <c:catAx>
        <c:axId val="-385881696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5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85876800"/>
        <c:crosses val="autoZero"/>
        <c:auto val="1"/>
        <c:lblAlgn val="ctr"/>
        <c:lblOffset val="100"/>
        <c:noMultiLvlLbl val="0"/>
      </c:catAx>
      <c:valAx>
        <c:axId val="-385876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sz="700" b="1"/>
                  <a:t>тон</a:t>
                </a:r>
                <a:endParaRPr lang="en-US" sz="700" b="1"/>
              </a:p>
            </c:rich>
          </c:tx>
          <c:layout>
            <c:manualLayout>
              <c:xMode val="edge"/>
              <c:yMode val="edge"/>
              <c:x val="2.0784619381657574E-2"/>
              <c:y val="0.362208133074274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7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8588169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500">
          <a:latin typeface="+mn-lt"/>
        </a:defRPr>
      </a:pPr>
      <a:endParaRPr lang="bg-BG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759190815433786"/>
          <c:y val="3.6192147535810223E-2"/>
          <c:w val="0.67240809184566219"/>
          <c:h val="0.78878596140705404"/>
        </c:manualLayout>
      </c:layout>
      <c:lineChart>
        <c:grouping val="standard"/>
        <c:varyColors val="0"/>
        <c:ser>
          <c:idx val="0"/>
          <c:order val="0"/>
          <c:tx>
            <c:strRef>
              <c:f>'внос_2008-2023,кг.,тон, куб.м.'!$A$10</c:f>
              <c:strCache>
                <c:ptCount val="1"/>
                <c:pt idx="0">
                  <c:v>44 ДЪРВЕН МАТЕРИАЛ - тон</c:v>
                </c:pt>
              </c:strCache>
            </c:strRef>
          </c:tx>
          <c:spPr>
            <a:ln w="31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'внос_2008-2023,кг.,тон, куб.м.'!$B$4:$Q$4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'внос_2008-2023,кг.,тон, куб.м.'!$B$10:$Q$10</c:f>
              <c:numCache>
                <c:formatCode>#,##0</c:formatCode>
                <c:ptCount val="16"/>
                <c:pt idx="0">
                  <c:v>476313.92014600005</c:v>
                </c:pt>
                <c:pt idx="1">
                  <c:v>276264.32312999998</c:v>
                </c:pt>
                <c:pt idx="2">
                  <c:v>229630.30607399999</c:v>
                </c:pt>
                <c:pt idx="3">
                  <c:v>248499.00691299999</c:v>
                </c:pt>
                <c:pt idx="4">
                  <c:v>311289.492555</c:v>
                </c:pt>
                <c:pt idx="5">
                  <c:v>272933.83516100002</c:v>
                </c:pt>
                <c:pt idx="6">
                  <c:v>282775.39952600002</c:v>
                </c:pt>
                <c:pt idx="7">
                  <c:v>317936.29191700002</c:v>
                </c:pt>
                <c:pt idx="8">
                  <c:v>368947.58885900001</c:v>
                </c:pt>
                <c:pt idx="9">
                  <c:v>367860.320374</c:v>
                </c:pt>
                <c:pt idx="10">
                  <c:v>418470.85031699995</c:v>
                </c:pt>
                <c:pt idx="11">
                  <c:v>483965.24894700001</c:v>
                </c:pt>
                <c:pt idx="12">
                  <c:v>452431.43428600003</c:v>
                </c:pt>
                <c:pt idx="13">
                  <c:v>551182.46734099998</c:v>
                </c:pt>
                <c:pt idx="14">
                  <c:v>705509.99892599997</c:v>
                </c:pt>
                <c:pt idx="15">
                  <c:v>538486.96022899996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'внос_2008-2023,кг.,тон, куб.м.'!$A$11</c:f>
              <c:strCache>
                <c:ptCount val="1"/>
                <c:pt idx="0">
                  <c:v>4401 Дърва за горене под формата на трупчета - тон</c:v>
                </c:pt>
              </c:strCache>
            </c:strRef>
          </c:tx>
          <c:spPr>
            <a:ln w="63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14"/>
              <c:layout>
                <c:manualLayout>
                  <c:x val="-0.16066669518894697"/>
                  <c:y val="-0.11167116704002913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внос на дърва за горене по код 4401 за 2022 г.; </a:t>
                    </a:r>
                    <a:fld id="{453A0995-4372-4A1A-80C1-BD6A07C58502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ED7D31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dLblPos val="r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1248378279139977"/>
                      <c:h val="0.16430072575447641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'внос_2008-2023,кг.,тон, куб.м.'!$B$4:$Q$4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'внос_2008-2023,кг.,тон, куб.м.'!$B$11:$Q$11</c:f>
              <c:numCache>
                <c:formatCode>#,##0</c:formatCode>
                <c:ptCount val="16"/>
                <c:pt idx="0">
                  <c:v>7085.77837</c:v>
                </c:pt>
                <c:pt idx="1">
                  <c:v>4311.4977900000004</c:v>
                </c:pt>
                <c:pt idx="2">
                  <c:v>3528.39572</c:v>
                </c:pt>
                <c:pt idx="3">
                  <c:v>12806.656438</c:v>
                </c:pt>
                <c:pt idx="4">
                  <c:v>34785.776130000006</c:v>
                </c:pt>
                <c:pt idx="5">
                  <c:v>15461.686589999999</c:v>
                </c:pt>
                <c:pt idx="6">
                  <c:v>23330.439190000001</c:v>
                </c:pt>
                <c:pt idx="7">
                  <c:v>50535.381569999998</c:v>
                </c:pt>
                <c:pt idx="8">
                  <c:v>62158.740180000001</c:v>
                </c:pt>
                <c:pt idx="9">
                  <c:v>36530.458359999997</c:v>
                </c:pt>
                <c:pt idx="10">
                  <c:v>51650.154569999999</c:v>
                </c:pt>
                <c:pt idx="11">
                  <c:v>88716.580579999994</c:v>
                </c:pt>
                <c:pt idx="12">
                  <c:v>100899.36943999999</c:v>
                </c:pt>
                <c:pt idx="13">
                  <c:v>139270.44788999998</c:v>
                </c:pt>
                <c:pt idx="14">
                  <c:v>170981.64726</c:v>
                </c:pt>
                <c:pt idx="15">
                  <c:v>85473.760273000007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'внос_2008-2023,кг.,тон, куб.м.'!$A$12</c:f>
              <c:strCache>
                <c:ptCount val="1"/>
                <c:pt idx="0">
                  <c:v>4403 Необработен дървен материал - тон</c:v>
                </c:pt>
              </c:strCache>
            </c:strRef>
          </c:tx>
          <c:spPr>
            <a:ln w="6350" cap="rnd">
              <a:solidFill>
                <a:srgbClr val="92D050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2.8014713556808367E-2"/>
                  <c:y val="-0.28237697877013201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внос на необработен дървен материал по код 4403 за 2008 г.; </a:t>
                    </a:r>
                    <a:fld id="{A1FDCB51-893A-485B-812C-8707D4C763A2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92D05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dLblPos val="r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275801239130823"/>
                      <c:h val="0.146481149090972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4"/>
              <c:layout>
                <c:manualLayout>
                  <c:x val="-0.31369750209795205"/>
                  <c:y val="-0.10752437587859576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внос на необработен дървен материал по код 4403 за </a:t>
                    </a:r>
                    <a:fld id="{C3A9EE08-1915-4432-B433-3F978477EB02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/>
                      <a:t>; г. </a:t>
                    </a:r>
                    <a:fld id="{9266B5CB-DC3B-4DE0-A1E0-B521BDA9B7FF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92D05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dLblPos val="r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994097888023064"/>
                      <c:h val="0.14457402789064178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rgbClr val="92D05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'внос_2008-2023,кг.,тон, куб.м.'!$B$4:$Q$4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'внос_2008-2023,кг.,тон, куб.м.'!$B$12:$Q$12</c:f>
              <c:numCache>
                <c:formatCode>#,##0</c:formatCode>
                <c:ptCount val="16"/>
                <c:pt idx="0">
                  <c:v>147670.18709999998</c:v>
                </c:pt>
                <c:pt idx="1">
                  <c:v>31787.066159999998</c:v>
                </c:pt>
                <c:pt idx="2">
                  <c:v>29011.043382</c:v>
                </c:pt>
                <c:pt idx="3">
                  <c:v>38891.489460000004</c:v>
                </c:pt>
                <c:pt idx="4">
                  <c:v>39396.070270000004</c:v>
                </c:pt>
                <c:pt idx="5">
                  <c:v>29247.407760000002</c:v>
                </c:pt>
                <c:pt idx="6">
                  <c:v>22008.62456</c:v>
                </c:pt>
                <c:pt idx="7">
                  <c:v>10072.121999999999</c:v>
                </c:pt>
                <c:pt idx="8">
                  <c:v>8135.576</c:v>
                </c:pt>
                <c:pt idx="9">
                  <c:v>6981.6917100000001</c:v>
                </c:pt>
                <c:pt idx="10">
                  <c:v>9660.4103300000006</c:v>
                </c:pt>
                <c:pt idx="11">
                  <c:v>10033.01729</c:v>
                </c:pt>
                <c:pt idx="12">
                  <c:v>9299.1185000000005</c:v>
                </c:pt>
                <c:pt idx="13">
                  <c:v>27278.796739999998</c:v>
                </c:pt>
                <c:pt idx="14">
                  <c:v>54050.113420000001</c:v>
                </c:pt>
                <c:pt idx="15">
                  <c:v>38026.501929999999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'внос_2008-2023,кг.,тон, куб.м.'!$A$13</c:f>
              <c:strCache>
                <c:ptCount val="1"/>
                <c:pt idx="0">
                  <c:v>внос по код (4401+4403) - тон</c:v>
                </c:pt>
              </c:strCache>
            </c:strRef>
          </c:tx>
          <c:spPr>
            <a:ln w="31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dLbls>
            <c:dLbl>
              <c:idx val="14"/>
              <c:layout>
                <c:manualLayout>
                  <c:x val="-1.1144614972721314E-2"/>
                  <c:y val="-0.21347493966810499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внос на дървени материали общо по код (4401 + 4403)  </a:t>
                    </a:r>
                    <a:fld id="{92782441-524E-41F9-8862-53C2316CCA9B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/>
                      <a:t> г; </a:t>
                    </a:r>
                    <a:fld id="{E79A478A-9C59-4E05-8B5E-B507A9F34D76}" type="VALUE">
                      <a:rPr lang="en-US"/>
                      <a:pPr>
                        <a:defRPr/>
                      </a:pPr>
                      <a:t>[VALUE]</a:t>
                    </a:fld>
                    <a:r>
                      <a:rPr lang="en-US"/>
                      <a:t> тона</a:t>
                    </a:r>
                  </a:p>
                  <a:p>
                    <a:pPr>
                      <a:defRPr/>
                    </a:pPr>
                    <a:endParaRPr lang="bg-BG"/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/>
                  </a:solidFill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404970807220524"/>
                      <c:h val="0.17967123909844046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'внос_2008-2023,кг.,тон, куб.м.'!$B$4:$Q$4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'внос_2008-2023,кг.,тон, куб.м.'!$B$13:$Q$13</c:f>
              <c:numCache>
                <c:formatCode>#,##0</c:formatCode>
                <c:ptCount val="16"/>
                <c:pt idx="0">
                  <c:v>154755.96547</c:v>
                </c:pt>
                <c:pt idx="1">
                  <c:v>36098.563950000003</c:v>
                </c:pt>
                <c:pt idx="2">
                  <c:v>32539.439101999997</c:v>
                </c:pt>
                <c:pt idx="3">
                  <c:v>51698.145898000002</c:v>
                </c:pt>
                <c:pt idx="4">
                  <c:v>74181.846400000009</c:v>
                </c:pt>
                <c:pt idx="5">
                  <c:v>44709.094349999999</c:v>
                </c:pt>
                <c:pt idx="6">
                  <c:v>45339.063750000001</c:v>
                </c:pt>
                <c:pt idx="7">
                  <c:v>60607.503570000001</c:v>
                </c:pt>
                <c:pt idx="8">
                  <c:v>70294.316180000009</c:v>
                </c:pt>
                <c:pt idx="9">
                  <c:v>43512.150070000003</c:v>
                </c:pt>
                <c:pt idx="10">
                  <c:v>61310.564899999998</c:v>
                </c:pt>
                <c:pt idx="11">
                  <c:v>98749.597869999998</c:v>
                </c:pt>
                <c:pt idx="12">
                  <c:v>110198.48793999999</c:v>
                </c:pt>
                <c:pt idx="13">
                  <c:v>166549.24463</c:v>
                </c:pt>
                <c:pt idx="14">
                  <c:v>225031.76068000001</c:v>
                </c:pt>
                <c:pt idx="15">
                  <c:v>123500.26220300001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385872448"/>
        <c:axId val="-385885504"/>
      </c:lineChart>
      <c:catAx>
        <c:axId val="-385872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85885504"/>
        <c:crosses val="autoZero"/>
        <c:auto val="1"/>
        <c:lblAlgn val="ctr"/>
        <c:lblOffset val="100"/>
        <c:noMultiLvlLbl val="0"/>
      </c:catAx>
      <c:valAx>
        <c:axId val="-385885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b="1"/>
                  <a:t>ТОН </a:t>
                </a:r>
                <a:endParaRPr lang="en-US" b="1"/>
              </a:p>
            </c:rich>
          </c:tx>
          <c:layout>
            <c:manualLayout>
              <c:xMode val="edge"/>
              <c:yMode val="edge"/>
              <c:x val="1.9954648526077097E-2"/>
              <c:y val="0.319239587564033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8587244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noFill/>
        <a:ln w="9525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'внос_2008-2023,кг.,тон, куб.м.'!$A$32</c:f>
              <c:strCache>
                <c:ptCount val="1"/>
                <c:pt idx="0">
                  <c:v>износ 4403  в тон</c:v>
                </c:pt>
              </c:strCache>
            </c:strRef>
          </c:tx>
          <c:spPr>
            <a:ln w="952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Lbls>
            <c:dLbl>
              <c:idx val="14"/>
              <c:layout>
                <c:manualLayout>
                  <c:x val="-0.21076436001809137"/>
                  <c:y val="-0.20079099496476233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внос</a:t>
                    </a:r>
                    <a:r>
                      <a:rPr lang="bg-BG" baseline="0"/>
                      <a:t> </a:t>
                    </a:r>
                    <a:fld id="{A21381BF-5565-4CFE-A872-60B246BAD5E5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 baseline="0"/>
                      <a:t>; </a:t>
                    </a:r>
                    <a:fld id="{2DF58C8F-5836-4F2F-A40B-9A93100240F7}" type="VALUE">
                      <a:rPr lang="en-US" baseline="0"/>
                      <a:pPr>
                        <a:defRPr/>
                      </a:pPr>
                      <a:t>[VALUE]</a:t>
                    </a:fld>
                    <a:r>
                      <a:rPr lang="en-US" baseline="0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FF0000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0911113722724958"/>
                      <c:h val="0.1163014135497751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5"/>
              <c:layout>
                <c:manualLayout>
                  <c:x val="-0.24061510628674809"/>
                  <c:y val="-5.82633622022641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внос </a:t>
                    </a:r>
                    <a:fld id="{8D60D3B1-015B-45EB-A6F4-51CB8C26C0DA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 baseline="0"/>
                      <a:t>; </a:t>
                    </a:r>
                    <a:fld id="{2CC02B8B-0D99-4857-94DF-215D58D85CEF}" type="VALUE">
                      <a:rPr lang="en-US" baseline="0"/>
                      <a:pPr>
                        <a:defRPr/>
                      </a:pPr>
                      <a:t>[VALUE]</a:t>
                    </a:fld>
                    <a:r>
                      <a:rPr lang="en-US" baseline="0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rgbClr val="FF0000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181568179147213"/>
                      <c:h val="0.11138745278061007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FF000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'внос_2008-2023,кг.,тон, куб.м.'!$B$4:$Q$4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'внос_2008-2023,кг.,тон, куб.м.'!$B$32:$Q$32</c:f>
              <c:numCache>
                <c:formatCode>#,##0</c:formatCode>
                <c:ptCount val="16"/>
                <c:pt idx="0">
                  <c:v>247063.54699999999</c:v>
                </c:pt>
                <c:pt idx="1">
                  <c:v>203386.633</c:v>
                </c:pt>
                <c:pt idx="2">
                  <c:v>423306.20850000001</c:v>
                </c:pt>
                <c:pt idx="3">
                  <c:v>411955.45435000001</c:v>
                </c:pt>
                <c:pt idx="4">
                  <c:v>415624.39152999996</c:v>
                </c:pt>
                <c:pt idx="5">
                  <c:v>246898.68737</c:v>
                </c:pt>
                <c:pt idx="6">
                  <c:v>493903.35076</c:v>
                </c:pt>
                <c:pt idx="7">
                  <c:v>200139.25519999999</c:v>
                </c:pt>
                <c:pt idx="8">
                  <c:v>161938.91916999998</c:v>
                </c:pt>
                <c:pt idx="9">
                  <c:v>152928.43862999999</c:v>
                </c:pt>
                <c:pt idx="10">
                  <c:v>148151.0778</c:v>
                </c:pt>
                <c:pt idx="11">
                  <c:v>91902.478860000003</c:v>
                </c:pt>
                <c:pt idx="12">
                  <c:v>80771.761859999999</c:v>
                </c:pt>
                <c:pt idx="13">
                  <c:v>59347.144</c:v>
                </c:pt>
                <c:pt idx="14">
                  <c:v>20111.511440000002</c:v>
                </c:pt>
                <c:pt idx="15">
                  <c:v>11322.035199999998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'внос_2008-2023,кг.,тон, куб.м.'!$A$37</c:f>
              <c:strCache>
                <c:ptCount val="1"/>
                <c:pt idx="0">
                  <c:v> внос 4403 - тон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dLbls>
            <c:dLbl>
              <c:idx val="14"/>
              <c:layout>
                <c:manualLayout>
                  <c:x val="-0.13749434644957031"/>
                  <c:y val="-0.34061618950307748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износ </a:t>
                    </a:r>
                    <a:fld id="{4B7B885E-6B93-4E8C-97BB-5D16F11FD86A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 baseline="0"/>
                      <a:t>; </a:t>
                    </a:r>
                    <a:fld id="{226A3057-FD21-41E1-8B58-FC5A19DD7312}" type="VALUE">
                      <a:rPr lang="en-US" baseline="0"/>
                      <a:pPr>
                        <a:defRPr/>
                      </a:pPr>
                      <a:t>[VALUE]</a:t>
                    </a:fld>
                    <a:r>
                      <a:rPr lang="en-US" baseline="0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198455823958233"/>
                      <c:h val="0.1303807645835485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5"/>
              <c:layout>
                <c:manualLayout>
                  <c:x val="-1.7186793306196289E-2"/>
                  <c:y val="-0.25781606979564109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6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bg-BG"/>
                      <a:t>износ </a:t>
                    </a:r>
                    <a:fld id="{815E4EB3-CE52-4E4F-97B1-2D79A66F11BE}" type="CATEGORYNAME">
                      <a:rPr lang="en-US"/>
                      <a:pPr>
                        <a:defRPr/>
                      </a:pPr>
                      <a:t>[CATEGORY NAME]</a:t>
                    </a:fld>
                    <a:r>
                      <a:rPr lang="en-US" baseline="0"/>
                      <a:t>; </a:t>
                    </a:r>
                    <a:fld id="{0062AFD0-9A91-4A9C-840E-22850D3DE45C}" type="VALUE">
                      <a:rPr lang="en-US" baseline="0"/>
                      <a:pPr>
                        <a:defRPr/>
                      </a:pPr>
                      <a:t>[VALUE]</a:t>
                    </a:fld>
                    <a:r>
                      <a:rPr lang="en-US" baseline="0"/>
                      <a:t> тона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/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6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0718162943336289"/>
                      <c:h val="0.13420547902134025"/>
                    </c:manualLayout>
                  </c15:layout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'внос_2008-2023,кг.,тон, куб.м.'!$B$4:$Q$4</c:f>
              <c:numCache>
                <c:formatCode>General</c:formatCode>
                <c:ptCount val="16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  <c:pt idx="15">
                  <c:v>2023</c:v>
                </c:pt>
              </c:numCache>
            </c:numRef>
          </c:cat>
          <c:val>
            <c:numRef>
              <c:f>'внос_2008-2023,кг.,тон, куб.м.'!$B$37:$Q$37</c:f>
              <c:numCache>
                <c:formatCode>#,##0</c:formatCode>
                <c:ptCount val="16"/>
                <c:pt idx="0">
                  <c:v>147670.18709999998</c:v>
                </c:pt>
                <c:pt idx="1">
                  <c:v>31787.066159999998</c:v>
                </c:pt>
                <c:pt idx="2">
                  <c:v>29011.043382</c:v>
                </c:pt>
                <c:pt idx="3">
                  <c:v>38891.489460000004</c:v>
                </c:pt>
                <c:pt idx="4">
                  <c:v>39396.070270000004</c:v>
                </c:pt>
                <c:pt idx="5">
                  <c:v>29247.407760000002</c:v>
                </c:pt>
                <c:pt idx="6">
                  <c:v>22008.62456</c:v>
                </c:pt>
                <c:pt idx="7">
                  <c:v>10072.121999999999</c:v>
                </c:pt>
                <c:pt idx="8">
                  <c:v>8135.576</c:v>
                </c:pt>
                <c:pt idx="9">
                  <c:v>6981.6917100000001</c:v>
                </c:pt>
                <c:pt idx="10">
                  <c:v>9660.4103300000006</c:v>
                </c:pt>
                <c:pt idx="11">
                  <c:v>10033.01729</c:v>
                </c:pt>
                <c:pt idx="12">
                  <c:v>9299.1185000000005</c:v>
                </c:pt>
                <c:pt idx="13">
                  <c:v>27278.796739999998</c:v>
                </c:pt>
                <c:pt idx="14">
                  <c:v>54050.113420000001</c:v>
                </c:pt>
                <c:pt idx="15">
                  <c:v>38026.501929999999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385880608"/>
        <c:axId val="-385880064"/>
      </c:lineChart>
      <c:catAx>
        <c:axId val="-385880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85880064"/>
        <c:crosses val="autoZero"/>
        <c:auto val="1"/>
        <c:lblAlgn val="ctr"/>
        <c:lblOffset val="100"/>
        <c:noMultiLvlLbl val="0"/>
      </c:catAx>
      <c:valAx>
        <c:axId val="-385880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b="1"/>
                  <a:t>ТОН</a:t>
                </a:r>
                <a:endParaRPr lang="en-US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8588060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831298055178653"/>
          <c:y val="7.2631231429514692E-2"/>
          <c:w val="0.72869738636808801"/>
          <c:h val="0.573903707728181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Sheet1!$D$7</c:f>
              <c:strCache>
                <c:ptCount val="1"/>
                <c:pt idx="0">
                  <c:v>% на  вноса спрямо износа ( 4401 + 4403)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solidFill>
                <a:schemeClr val="accent6">
                  <a:lumMod val="40000"/>
                  <a:lumOff val="6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accent6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Sheet1!$E$6:$V$6</c:f>
              <c:strCache>
                <c:ptCount val="18"/>
                <c:pt idx="0">
                  <c:v>2008 г.</c:v>
                </c:pt>
                <c:pt idx="1">
                  <c:v>2009 г.</c:v>
                </c:pt>
                <c:pt idx="2">
                  <c:v>2010 г.</c:v>
                </c:pt>
                <c:pt idx="3">
                  <c:v>2011 г.</c:v>
                </c:pt>
                <c:pt idx="4">
                  <c:v>2012 г.</c:v>
                </c:pt>
                <c:pt idx="5">
                  <c:v>2013 г.</c:v>
                </c:pt>
                <c:pt idx="6">
                  <c:v>2014 г.</c:v>
                </c:pt>
                <c:pt idx="7">
                  <c:v>2015 г.</c:v>
                </c:pt>
                <c:pt idx="8">
                  <c:v>2016 г.</c:v>
                </c:pt>
                <c:pt idx="9">
                  <c:v>2017 г.</c:v>
                </c:pt>
                <c:pt idx="10">
                  <c:v>2018 г.</c:v>
                </c:pt>
                <c:pt idx="11">
                  <c:v>ср. год. за периода 2008 г.-2018 г.</c:v>
                </c:pt>
                <c:pt idx="12">
                  <c:v>2019 г.</c:v>
                </c:pt>
                <c:pt idx="13">
                  <c:v>2020 г.</c:v>
                </c:pt>
                <c:pt idx="14">
                  <c:v>2021 г.</c:v>
                </c:pt>
                <c:pt idx="15">
                  <c:v>2022 г.</c:v>
                </c:pt>
                <c:pt idx="16">
                  <c:v>2023 г.</c:v>
                </c:pt>
                <c:pt idx="17">
                  <c:v>ср. год. за периода 2008 г.-2023 г.</c:v>
                </c:pt>
              </c:strCache>
            </c:strRef>
          </c:cat>
          <c:val>
            <c:numRef>
              <c:f>Sheet1!$E$7:$V$7</c:f>
              <c:numCache>
                <c:formatCode>0.00</c:formatCode>
                <c:ptCount val="18"/>
                <c:pt idx="0">
                  <c:v>43.445528677856039</c:v>
                </c:pt>
                <c:pt idx="1">
                  <c:v>12.008748078553731</c:v>
                </c:pt>
                <c:pt idx="2">
                  <c:v>5.0643193747857218</c:v>
                </c:pt>
                <c:pt idx="3">
                  <c:v>6.3142198709147017</c:v>
                </c:pt>
                <c:pt idx="4">
                  <c:v>8.1230945319913435</c:v>
                </c:pt>
                <c:pt idx="5">
                  <c:v>6.2165149228420571</c:v>
                </c:pt>
                <c:pt idx="6">
                  <c:v>3.7329187222375659</c:v>
                </c:pt>
                <c:pt idx="7">
                  <c:v>7.1060895955245167</c:v>
                </c:pt>
                <c:pt idx="8">
                  <c:v>12.214327408670821</c:v>
                </c:pt>
                <c:pt idx="9">
                  <c:v>6.4368336045907411</c:v>
                </c:pt>
                <c:pt idx="10">
                  <c:v>11.078910685505114</c:v>
                </c:pt>
                <c:pt idx="11" formatCode="#,##0.00">
                  <c:v>8.8555418453825574</c:v>
                </c:pt>
                <c:pt idx="12">
                  <c:v>19.889614392865717</c:v>
                </c:pt>
                <c:pt idx="13">
                  <c:v>27.537774307846654</c:v>
                </c:pt>
                <c:pt idx="14">
                  <c:v>49.484484239397794</c:v>
                </c:pt>
                <c:pt idx="15">
                  <c:v>99.837604224806299</c:v>
                </c:pt>
                <c:pt idx="16">
                  <c:v>75.98425807024806</c:v>
                </c:pt>
                <c:pt idx="17" formatCode="#,##0.00">
                  <c:v>15.134909021293085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357680096"/>
        <c:axId val="-357680640"/>
      </c:barChart>
      <c:lineChart>
        <c:grouping val="standard"/>
        <c:varyColors val="0"/>
        <c:ser>
          <c:idx val="1"/>
          <c:order val="1"/>
          <c:tx>
            <c:strRef>
              <c:f>Sheet1!$D$8</c:f>
              <c:strCache>
                <c:ptCount val="1"/>
                <c:pt idx="0">
                  <c:v>износ по код (4401+4403) в тон</c:v>
                </c:pt>
              </c:strCache>
            </c:strRef>
          </c:tx>
          <c:spPr>
            <a:ln w="952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strRef>
              <c:f>Sheet1!$E$6:$V$6</c:f>
              <c:strCache>
                <c:ptCount val="18"/>
                <c:pt idx="0">
                  <c:v>2008 г.</c:v>
                </c:pt>
                <c:pt idx="1">
                  <c:v>2009 г.</c:v>
                </c:pt>
                <c:pt idx="2">
                  <c:v>2010 г.</c:v>
                </c:pt>
                <c:pt idx="3">
                  <c:v>2011 г.</c:v>
                </c:pt>
                <c:pt idx="4">
                  <c:v>2012 г.</c:v>
                </c:pt>
                <c:pt idx="5">
                  <c:v>2013 г.</c:v>
                </c:pt>
                <c:pt idx="6">
                  <c:v>2014 г.</c:v>
                </c:pt>
                <c:pt idx="7">
                  <c:v>2015 г.</c:v>
                </c:pt>
                <c:pt idx="8">
                  <c:v>2016 г.</c:v>
                </c:pt>
                <c:pt idx="9">
                  <c:v>2017 г.</c:v>
                </c:pt>
                <c:pt idx="10">
                  <c:v>2018 г.</c:v>
                </c:pt>
                <c:pt idx="11">
                  <c:v>ср. год. за периода 2008 г.-2018 г.</c:v>
                </c:pt>
                <c:pt idx="12">
                  <c:v>2019 г.</c:v>
                </c:pt>
                <c:pt idx="13">
                  <c:v>2020 г.</c:v>
                </c:pt>
                <c:pt idx="14">
                  <c:v>2021 г.</c:v>
                </c:pt>
                <c:pt idx="15">
                  <c:v>2022 г.</c:v>
                </c:pt>
                <c:pt idx="16">
                  <c:v>2023 г.</c:v>
                </c:pt>
                <c:pt idx="17">
                  <c:v>ср. год. за периода 2008 г.-2023 г.</c:v>
                </c:pt>
              </c:strCache>
            </c:strRef>
          </c:cat>
          <c:val>
            <c:numRef>
              <c:f>Sheet1!$E$8:$V$8</c:f>
              <c:numCache>
                <c:formatCode>#,##0</c:formatCode>
                <c:ptCount val="18"/>
                <c:pt idx="0">
                  <c:v>356206.88751999999</c:v>
                </c:pt>
                <c:pt idx="1">
                  <c:v>300602.22525999998</c:v>
                </c:pt>
                <c:pt idx="2">
                  <c:v>642523.44084000005</c:v>
                </c:pt>
                <c:pt idx="3">
                  <c:v>818757.45468000008</c:v>
                </c:pt>
                <c:pt idx="4">
                  <c:v>913221.50823000004</c:v>
                </c:pt>
                <c:pt idx="5">
                  <c:v>719198.6974200001</c:v>
                </c:pt>
                <c:pt idx="6">
                  <c:v>1214574.09399</c:v>
                </c:pt>
                <c:pt idx="7">
                  <c:v>852895.29150000005</c:v>
                </c:pt>
                <c:pt idx="8">
                  <c:v>575507.05681999994</c:v>
                </c:pt>
                <c:pt idx="9">
                  <c:v>675986.87092000013</c:v>
                </c:pt>
                <c:pt idx="10">
                  <c:v>553398.85518000007</c:v>
                </c:pt>
                <c:pt idx="11">
                  <c:v>692988.3983963636</c:v>
                </c:pt>
                <c:pt idx="12">
                  <c:v>496488.24718000001</c:v>
                </c:pt>
                <c:pt idx="13">
                  <c:v>400172.09346000006</c:v>
                </c:pt>
                <c:pt idx="14">
                  <c:v>336568.61780000001</c:v>
                </c:pt>
                <c:pt idx="15">
                  <c:v>225397.79717999999</c:v>
                </c:pt>
                <c:pt idx="16">
                  <c:v>162534.01078000001</c:v>
                </c:pt>
                <c:pt idx="17">
                  <c:v>577752.0717974999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Sheet1!$D$9</c:f>
              <c:strCache>
                <c:ptCount val="1"/>
                <c:pt idx="0">
                  <c:v>внос по код (4401+4403)- тон</c:v>
                </c:pt>
              </c:strCache>
            </c:strRef>
          </c:tx>
          <c:spPr>
            <a:ln w="63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strRef>
              <c:f>Sheet1!$E$6:$V$6</c:f>
              <c:strCache>
                <c:ptCount val="18"/>
                <c:pt idx="0">
                  <c:v>2008 г.</c:v>
                </c:pt>
                <c:pt idx="1">
                  <c:v>2009 г.</c:v>
                </c:pt>
                <c:pt idx="2">
                  <c:v>2010 г.</c:v>
                </c:pt>
                <c:pt idx="3">
                  <c:v>2011 г.</c:v>
                </c:pt>
                <c:pt idx="4">
                  <c:v>2012 г.</c:v>
                </c:pt>
                <c:pt idx="5">
                  <c:v>2013 г.</c:v>
                </c:pt>
                <c:pt idx="6">
                  <c:v>2014 г.</c:v>
                </c:pt>
                <c:pt idx="7">
                  <c:v>2015 г.</c:v>
                </c:pt>
                <c:pt idx="8">
                  <c:v>2016 г.</c:v>
                </c:pt>
                <c:pt idx="9">
                  <c:v>2017 г.</c:v>
                </c:pt>
                <c:pt idx="10">
                  <c:v>2018 г.</c:v>
                </c:pt>
                <c:pt idx="11">
                  <c:v>ср. год. за периода 2008 г.-2018 г.</c:v>
                </c:pt>
                <c:pt idx="12">
                  <c:v>2019 г.</c:v>
                </c:pt>
                <c:pt idx="13">
                  <c:v>2020 г.</c:v>
                </c:pt>
                <c:pt idx="14">
                  <c:v>2021 г.</c:v>
                </c:pt>
                <c:pt idx="15">
                  <c:v>2022 г.</c:v>
                </c:pt>
                <c:pt idx="16">
                  <c:v>2023 г.</c:v>
                </c:pt>
                <c:pt idx="17">
                  <c:v>ср. год. за периода 2008 г.-2023 г.</c:v>
                </c:pt>
              </c:strCache>
            </c:strRef>
          </c:cat>
          <c:val>
            <c:numRef>
              <c:f>Sheet1!$E$9:$V$9</c:f>
              <c:numCache>
                <c:formatCode>#,##0</c:formatCode>
                <c:ptCount val="18"/>
                <c:pt idx="0">
                  <c:v>154755.96547</c:v>
                </c:pt>
                <c:pt idx="1">
                  <c:v>36098.563950000003</c:v>
                </c:pt>
                <c:pt idx="2">
                  <c:v>32539.439101999997</c:v>
                </c:pt>
                <c:pt idx="3">
                  <c:v>51698.145898000002</c:v>
                </c:pt>
                <c:pt idx="4">
                  <c:v>74181.846400000009</c:v>
                </c:pt>
                <c:pt idx="5">
                  <c:v>44709.094349999999</c:v>
                </c:pt>
                <c:pt idx="6">
                  <c:v>45339.063750000001</c:v>
                </c:pt>
                <c:pt idx="7">
                  <c:v>60607.503570000001</c:v>
                </c:pt>
                <c:pt idx="8">
                  <c:v>70294.316180000009</c:v>
                </c:pt>
                <c:pt idx="9">
                  <c:v>43512.150070000003</c:v>
                </c:pt>
                <c:pt idx="10">
                  <c:v>61310.564899999998</c:v>
                </c:pt>
                <c:pt idx="11">
                  <c:v>61367.877603636363</c:v>
                </c:pt>
                <c:pt idx="12">
                  <c:v>98749.597869999998</c:v>
                </c:pt>
                <c:pt idx="13">
                  <c:v>110198.48793999999</c:v>
                </c:pt>
                <c:pt idx="14">
                  <c:v>166549.24463</c:v>
                </c:pt>
                <c:pt idx="15">
                  <c:v>225031.76068000001</c:v>
                </c:pt>
                <c:pt idx="16">
                  <c:v>123500.26220300001</c:v>
                </c:pt>
                <c:pt idx="17">
                  <c:v>87442.25043518751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357687712"/>
        <c:axId val="-357693696"/>
      </c:lineChart>
      <c:catAx>
        <c:axId val="-357687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57693696"/>
        <c:crosses val="autoZero"/>
        <c:auto val="1"/>
        <c:lblAlgn val="ctr"/>
        <c:lblOffset val="100"/>
        <c:noMultiLvlLbl val="0"/>
      </c:catAx>
      <c:valAx>
        <c:axId val="-357693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b="1"/>
                  <a:t>тон</a:t>
                </a:r>
                <a:endParaRPr lang="en-US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57687712"/>
        <c:crosses val="autoZero"/>
        <c:crossBetween val="between"/>
      </c:valAx>
      <c:valAx>
        <c:axId val="-357680640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%</a:t>
                </a:r>
              </a:p>
            </c:rich>
          </c:tx>
          <c:layout>
            <c:manualLayout>
              <c:xMode val="edge"/>
              <c:yMode val="edge"/>
              <c:x val="0.97038680618498419"/>
              <c:y val="0.7641187835534768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57680096"/>
        <c:crosses val="max"/>
        <c:crossBetween val="between"/>
      </c:valAx>
      <c:catAx>
        <c:axId val="-3576800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-357680640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35987913783204"/>
          <c:y val="3.7243947858473E-2"/>
          <c:w val="0.60859658070691469"/>
          <c:h val="0.62876379016606709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'% износ от добива (2)'!$D$7</c:f>
              <c:strCache>
                <c:ptCount val="1"/>
                <c:pt idx="0">
                  <c:v>% на износа от общия обем добита обла лежаща дървесина 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'% износ от добива (2)'!$E$7:$L$7</c:f>
              <c:numCache>
                <c:formatCode>0.00</c:formatCode>
                <c:ptCount val="8"/>
                <c:pt idx="0">
                  <c:v>11.139017112471407</c:v>
                </c:pt>
                <c:pt idx="1">
                  <c:v>8.9929332666553954</c:v>
                </c:pt>
                <c:pt idx="2">
                  <c:v>8.5052424124870569</c:v>
                </c:pt>
                <c:pt idx="3">
                  <c:v>7.943295423755897</c:v>
                </c:pt>
                <c:pt idx="4">
                  <c:v>6.5158834929878662</c:v>
                </c:pt>
                <c:pt idx="5">
                  <c:v>4.0144446887701619</c:v>
                </c:pt>
                <c:pt idx="6">
                  <c:v>3.5483330553930257</c:v>
                </c:pt>
                <c:pt idx="7">
                  <c:v>7.4120564742630242</c:v>
                </c:pt>
              </c:numCache>
            </c:numRef>
          </c:val>
        </c:ser>
        <c:ser>
          <c:idx val="4"/>
          <c:order val="4"/>
          <c:tx>
            <c:strRef>
              <c:f>'% износ от добива (2)'!$D$9</c:f>
              <c:strCache>
                <c:ptCount val="1"/>
                <c:pt idx="0">
                  <c:v>% на вноса от общия обем добита обла лежаща дървесина 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solidFill>
                <a:schemeClr val="accent6">
                  <a:lumMod val="40000"/>
                  <a:lumOff val="60000"/>
                </a:schemeClr>
              </a:solidFill>
            </a:ln>
            <a:effectLst/>
          </c:spPr>
          <c:invertIfNegative val="0"/>
          <c:dLbls>
            <c:dLbl>
              <c:idx val="5"/>
              <c:layout>
                <c:manualLayout>
                  <c:x val="1.9900497512437811E-2"/>
                  <c:y val="-5.7558828508549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'% износ от добива (2)'!$E$4:$L$4</c:f>
              <c:strCache>
                <c:ptCount val="8"/>
                <c:pt idx="0">
                  <c:v>2017 г.</c:v>
                </c:pt>
                <c:pt idx="1">
                  <c:v>2018 г. </c:v>
                </c:pt>
                <c:pt idx="2">
                  <c:v>2019 г.</c:v>
                </c:pt>
                <c:pt idx="3">
                  <c:v>2020 г.</c:v>
                </c:pt>
                <c:pt idx="4">
                  <c:v>2021 г.</c:v>
                </c:pt>
                <c:pt idx="5">
                  <c:v>2022 г.</c:v>
                </c:pt>
                <c:pt idx="6">
                  <c:v>2023 г.</c:v>
                </c:pt>
                <c:pt idx="7">
                  <c:v>средногодишно за периода 2017 г. -2023 г.</c:v>
                </c:pt>
              </c:strCache>
            </c:strRef>
          </c:cat>
          <c:val>
            <c:numRef>
              <c:f>'% износ от добива (2)'!$E$9:$L$9</c:f>
              <c:numCache>
                <c:formatCode>0.00</c:formatCode>
                <c:ptCount val="8"/>
                <c:pt idx="0">
                  <c:v>0.71700039014115513</c:v>
                </c:pt>
                <c:pt idx="1">
                  <c:v>0.99631878389126938</c:v>
                </c:pt>
                <c:pt idx="2">
                  <c:v>1.691660335320136</c:v>
                </c:pt>
                <c:pt idx="3">
                  <c:v>2.1874045441868728</c:v>
                </c:pt>
                <c:pt idx="4">
                  <c:v>3.2243500736601809</c:v>
                </c:pt>
                <c:pt idx="5">
                  <c:v>4.0079329072329442</c:v>
                </c:pt>
                <c:pt idx="6">
                  <c:v>2.6961767983727132</c:v>
                </c:pt>
                <c:pt idx="7">
                  <c:v>2.1552004667166815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357690432"/>
        <c:axId val="-357690976"/>
      </c:barChart>
      <c:lineChart>
        <c:grouping val="standard"/>
        <c:varyColors val="0"/>
        <c:ser>
          <c:idx val="0"/>
          <c:order val="0"/>
          <c:tx>
            <c:strRef>
              <c:f>'% износ от добива (2)'!$D$5</c:f>
              <c:strCache>
                <c:ptCount val="1"/>
                <c:pt idx="0">
                  <c:v>добита дървесина от всички горски територии  (без  ССФ) обла лежаща дървесина в пл.куб. м.</c:v>
                </c:pt>
              </c:strCache>
            </c:strRef>
          </c:tx>
          <c:spPr>
            <a:ln w="9525" cap="rnd">
              <a:solidFill>
                <a:srgbClr val="FF00FF"/>
              </a:solidFill>
              <a:round/>
            </a:ln>
            <a:effectLst/>
          </c:spPr>
          <c:marker>
            <c:symbol val="none"/>
          </c:marker>
          <c:cat>
            <c:strRef>
              <c:f>'% износ от добива (2)'!$E$4:$L$4</c:f>
              <c:strCache>
                <c:ptCount val="8"/>
                <c:pt idx="0">
                  <c:v>2017 г.</c:v>
                </c:pt>
                <c:pt idx="1">
                  <c:v>2018 г. </c:v>
                </c:pt>
                <c:pt idx="2">
                  <c:v>2019 г.</c:v>
                </c:pt>
                <c:pt idx="3">
                  <c:v>2020 г.</c:v>
                </c:pt>
                <c:pt idx="4">
                  <c:v>2021 г.</c:v>
                </c:pt>
                <c:pt idx="5">
                  <c:v>2022 г.</c:v>
                </c:pt>
                <c:pt idx="6">
                  <c:v>2023 г.</c:v>
                </c:pt>
                <c:pt idx="7">
                  <c:v>средногодишно за периода 2017 г. -2023 г.</c:v>
                </c:pt>
              </c:strCache>
            </c:strRef>
          </c:cat>
          <c:val>
            <c:numRef>
              <c:f>'% износ от добива (2)'!$E$5:$L$5</c:f>
              <c:numCache>
                <c:formatCode>General</c:formatCode>
                <c:ptCount val="8"/>
                <c:pt idx="0">
                  <c:v>6935585</c:v>
                </c:pt>
                <c:pt idx="1">
                  <c:v>7032811</c:v>
                </c:pt>
                <c:pt idx="2">
                  <c:v>6671356</c:v>
                </c:pt>
                <c:pt idx="3">
                  <c:v>5757560</c:v>
                </c:pt>
                <c:pt idx="4">
                  <c:v>5903267</c:v>
                </c:pt>
                <c:pt idx="5">
                  <c:v>6416753</c:v>
                </c:pt>
                <c:pt idx="6">
                  <c:v>5234937</c:v>
                </c:pt>
                <c:pt idx="7" formatCode="0">
                  <c:v>6278896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'% износ от добива (2)'!$D$6</c:f>
              <c:strCache>
                <c:ptCount val="1"/>
                <c:pt idx="0">
                  <c:v>Износ общо - дърва за горене и необработен дървен материал (код 4401 + код 4403) - куб. м.</c:v>
                </c:pt>
              </c:strCache>
            </c:strRef>
          </c:tx>
          <c:spPr>
            <a:ln w="9525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'% износ от добива (2)'!$E$4:$L$4</c:f>
              <c:strCache>
                <c:ptCount val="8"/>
                <c:pt idx="0">
                  <c:v>2017 г.</c:v>
                </c:pt>
                <c:pt idx="1">
                  <c:v>2018 г. </c:v>
                </c:pt>
                <c:pt idx="2">
                  <c:v>2019 г.</c:v>
                </c:pt>
                <c:pt idx="3">
                  <c:v>2020 г.</c:v>
                </c:pt>
                <c:pt idx="4">
                  <c:v>2021 г.</c:v>
                </c:pt>
                <c:pt idx="5">
                  <c:v>2022 г.</c:v>
                </c:pt>
                <c:pt idx="6">
                  <c:v>2023 г.</c:v>
                </c:pt>
                <c:pt idx="7">
                  <c:v>средногодишно за периода 2017 г. -2023 г.</c:v>
                </c:pt>
              </c:strCache>
            </c:strRef>
          </c:cat>
          <c:val>
            <c:numRef>
              <c:f>'% износ от добива (2)'!$E$6:$L$6</c:f>
              <c:numCache>
                <c:formatCode>General</c:formatCode>
                <c:ptCount val="8"/>
                <c:pt idx="0">
                  <c:v>772556</c:v>
                </c:pt>
                <c:pt idx="1">
                  <c:v>632456</c:v>
                </c:pt>
                <c:pt idx="2">
                  <c:v>567415</c:v>
                </c:pt>
                <c:pt idx="3">
                  <c:v>457340</c:v>
                </c:pt>
                <c:pt idx="4">
                  <c:v>384650</c:v>
                </c:pt>
                <c:pt idx="5">
                  <c:v>257597</c:v>
                </c:pt>
                <c:pt idx="6">
                  <c:v>185753</c:v>
                </c:pt>
                <c:pt idx="7" formatCode="0">
                  <c:v>465395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'% износ от добива (2)'!$D$8</c:f>
              <c:strCache>
                <c:ptCount val="1"/>
                <c:pt idx="0">
                  <c:v>Внос общо - дърва за горене и необработен дървен материал (код 4401 + код 4403) - куб. м.</c:v>
                </c:pt>
              </c:strCache>
            </c:strRef>
          </c:tx>
          <c:spPr>
            <a:ln w="12700" cap="rnd">
              <a:solidFill>
                <a:sysClr val="windowText" lastClr="000000"/>
              </a:solidFill>
              <a:round/>
            </a:ln>
            <a:effectLst/>
          </c:spPr>
          <c:marker>
            <c:symbol val="none"/>
          </c:marker>
          <c:cat>
            <c:strRef>
              <c:f>'% износ от добива (2)'!$E$4:$L$4</c:f>
              <c:strCache>
                <c:ptCount val="8"/>
                <c:pt idx="0">
                  <c:v>2017 г.</c:v>
                </c:pt>
                <c:pt idx="1">
                  <c:v>2018 г. </c:v>
                </c:pt>
                <c:pt idx="2">
                  <c:v>2019 г.</c:v>
                </c:pt>
                <c:pt idx="3">
                  <c:v>2020 г.</c:v>
                </c:pt>
                <c:pt idx="4">
                  <c:v>2021 г.</c:v>
                </c:pt>
                <c:pt idx="5">
                  <c:v>2022 г.</c:v>
                </c:pt>
                <c:pt idx="6">
                  <c:v>2023 г.</c:v>
                </c:pt>
                <c:pt idx="7">
                  <c:v>средногодишно за периода 2017 г. -2023 г.</c:v>
                </c:pt>
              </c:strCache>
            </c:strRef>
          </c:cat>
          <c:val>
            <c:numRef>
              <c:f>'% износ от добива (2)'!$E$8:$L$8</c:f>
              <c:numCache>
                <c:formatCode>#,##0</c:formatCode>
                <c:ptCount val="8"/>
                <c:pt idx="0">
                  <c:v>49728.171508571431</c:v>
                </c:pt>
                <c:pt idx="1">
                  <c:v>70069.217028571424</c:v>
                </c:pt>
                <c:pt idx="2">
                  <c:v>112856.68328000001</c:v>
                </c:pt>
                <c:pt idx="3">
                  <c:v>125941.12907428571</c:v>
                </c:pt>
                <c:pt idx="4">
                  <c:v>190341.99386285714</c:v>
                </c:pt>
                <c:pt idx="5">
                  <c:v>257179.15506285714</c:v>
                </c:pt>
                <c:pt idx="6">
                  <c:v>141143.15680342857</c:v>
                </c:pt>
                <c:pt idx="7" formatCode="0">
                  <c:v>135322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357686624"/>
        <c:axId val="-357683904"/>
      </c:lineChart>
      <c:catAx>
        <c:axId val="-357686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57683904"/>
        <c:crosses val="autoZero"/>
        <c:auto val="1"/>
        <c:lblAlgn val="ctr"/>
        <c:lblOffset val="100"/>
        <c:noMultiLvlLbl val="0"/>
      </c:catAx>
      <c:valAx>
        <c:axId val="-3576839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 b="1"/>
                  <a:t>пл. куб. м.</a:t>
                </a:r>
                <a:endParaRPr lang="en-US" b="1"/>
              </a:p>
            </c:rich>
          </c:tx>
          <c:layout>
            <c:manualLayout>
              <c:xMode val="edge"/>
              <c:yMode val="edge"/>
              <c:x val="0.15739484396200815"/>
              <c:y val="0.359317452002095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57686624"/>
        <c:crosses val="autoZero"/>
        <c:crossBetween val="between"/>
      </c:valAx>
      <c:valAx>
        <c:axId val="-357690976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bg-BG"/>
                  <a:t>%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97493422017899944"/>
              <c:y val="0.7767229443742809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6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bg-BG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-357690432"/>
        <c:crosses val="max"/>
        <c:crossBetween val="between"/>
      </c:valAx>
      <c:catAx>
        <c:axId val="-3576904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-357690976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/>
      </a:pPr>
      <a:endParaRPr lang="bg-BG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560Kutina</cp:lastModifiedBy>
  <cp:revision>8</cp:revision>
  <cp:lastPrinted>2024-06-27T09:23:00Z</cp:lastPrinted>
  <dcterms:created xsi:type="dcterms:W3CDTF">2024-06-28T06:30:00Z</dcterms:created>
  <dcterms:modified xsi:type="dcterms:W3CDTF">2024-07-01T11:51:00Z</dcterms:modified>
</cp:coreProperties>
</file>