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tblCellSpacing w:w="15" w:type="dxa"/>
        <w:tblInd w:w="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750"/>
      </w:tblGrid>
      <w:tr w:rsidR="00575BF3" w14:paraId="34A3723A" w14:textId="77777777" w:rsidTr="009207B3">
        <w:trPr>
          <w:tblCellSpacing w:w="15" w:type="dxa"/>
        </w:trPr>
        <w:tc>
          <w:tcPr>
            <w:tcW w:w="10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38F57" w14:textId="384B16EA" w:rsidR="00575BF3" w:rsidRPr="007A54FD" w:rsidRDefault="007A54FD" w:rsidP="007A5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МЕТОДИКА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ЗА АНАЛИЗ И ОЦЕНКА НА РИСКА ЗА СИГУРНОСТТА НА ИНФОРМАЦИОННИТЕ  И КОМУНИКАЦИОННИТЕ СИСТЕМИ В ИЗПЪЛНИТЕЛНА АГЕНЦИЯ ПО ГОРИТЕ</w:t>
            </w:r>
          </w:p>
          <w:p w14:paraId="7F51247D" w14:textId="77777777" w:rsidR="007A54FD" w:rsidRDefault="007A54FD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</w:pPr>
          </w:p>
          <w:p w14:paraId="679EC150" w14:textId="2BABF7E0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I. ЕТАПИ НА АНАЛИЗ И ОЦЕНКА НА РИСКА</w:t>
            </w:r>
          </w:p>
          <w:p w14:paraId="506B150E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3713AD54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Анализът и оценката на риска са част от процеса за управлението му и се обосновават на познаване на всички компоненти, имащи отношение към целите. </w:t>
            </w:r>
          </w:p>
          <w:p w14:paraId="08ED30EF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За целите на управлението на сигурността на мрежите и информационните системи трябва:</w:t>
            </w:r>
          </w:p>
          <w:p w14:paraId="0E7AE3E5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а) да се познават всички обекти и субекти, които участват пряко или косвено в дейностите, попадащи в обхвата на тази наредба (информационни и комуникационни системи с прилежащия им хардуер, софтуер и документация, поддържащите ги системи (електрозахранващи, климатизиращи и др.), оперативни процеси/дейности, служители и външни организации), наричани за краткост "информационни активи";</w:t>
            </w:r>
          </w:p>
          <w:p w14:paraId="1B857BF8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б) да се идентифицират и анализират всички потенциални нежелани събития с тях, наричани за краткост "заплахи", които биха довели до загуба на конфиденциалност, интегритет и достъпност на електронните услуги и/или информацията в тях;</w:t>
            </w:r>
          </w:p>
          <w:p w14:paraId="6AF1A046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в) да се оцени вероятността от настъпване на тези събития, като се вземат предвид слабостите (уязвимости) на информационните активи и мерките, които са предприети за справяне с тях;</w:t>
            </w:r>
          </w:p>
          <w:p w14:paraId="529E8CB3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г) да се оцени въздействието (загуби на ресурси (време, хора и пари), неспазване на нормативни и регулаторни изисквания, накърняване на имидж, неизпълнение на стратегически и оперативни цели и др.) от евентуално настъпване на тези нежелани събития въпреки предприетите мерки;</w:t>
            </w:r>
          </w:p>
          <w:p w14:paraId="27887ED4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д) да се оцени рискът за сигурността;</w:t>
            </w:r>
          </w:p>
          <w:p w14:paraId="3A764FA7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е) да се набележат мерки за смекчаване на рисковете с висок приоритет.</w:t>
            </w:r>
          </w:p>
          <w:p w14:paraId="67DA7BD4" w14:textId="7748F1AE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При анализ и оценка на риска се използва регистър на рисковете (риск-регистър). </w:t>
            </w:r>
          </w:p>
          <w:p w14:paraId="43CD5CC4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1. Идентифициране на информационните активи</w:t>
            </w:r>
          </w:p>
          <w:p w14:paraId="386CA27F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В риск-регистъра се нанасят всички информационни активи, имащи отношение към обхвата на тази наредба:</w:t>
            </w:r>
          </w:p>
          <w:p w14:paraId="3AA2AD11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а) информационни системи;</w:t>
            </w:r>
          </w:p>
          <w:p w14:paraId="0DD6313B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б) хардуерни устройства, с които са реализирани информационните системи;</w:t>
            </w:r>
          </w:p>
          <w:p w14:paraId="6D2B65EB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в) софтуери, с които са реализирани информационните системи;</w:t>
            </w:r>
          </w:p>
          <w:p w14:paraId="34F1DF22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г) бази данни, включително лични данни по смисъла на GDPR;</w:t>
            </w:r>
          </w:p>
          <w:p w14:paraId="3E09F172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д) записи за събитията (логове, журнали) на информационните системи;</w:t>
            </w:r>
          </w:p>
          <w:p w14:paraId="1E8070F1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е) документация на информационните системи (експлоатационна и потребителска);</w:t>
            </w:r>
          </w:p>
          <w:p w14:paraId="40798ED0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ж) комуникационни системи;</w:t>
            </w:r>
          </w:p>
          <w:p w14:paraId="1268A36C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з) хардуерни устройства, с които са реализирани комуникационните системи;</w:t>
            </w:r>
          </w:p>
          <w:p w14:paraId="53522240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и) фърмуерът на тези устройства;</w:t>
            </w:r>
          </w:p>
          <w:p w14:paraId="10F8DE0D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к) софтуери на комуникационните системи;</w:t>
            </w:r>
          </w:p>
          <w:p w14:paraId="366B424F" w14:textId="640D9C4C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л);</w:t>
            </w:r>
            <w:r w:rsidR="007A54FD" w:rsidRPr="009D777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системи за контрол на физическия достъп</w:t>
            </w:r>
          </w:p>
          <w:p w14:paraId="4BDBA345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м) документация (експлоатационна и потребителска);</w:t>
            </w:r>
          </w:p>
          <w:p w14:paraId="44136E59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н) поддържащи системи (електрозахранващи, климатични);</w:t>
            </w:r>
          </w:p>
          <w:p w14:paraId="387D35D5" w14:textId="25E164D0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о)</w:t>
            </w:r>
            <w:r w:rsidR="007A54FD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процеси/дейности, свързани с управлението, експлоатацията и поддръжката на информационните и комуникационните системи;</w:t>
            </w:r>
          </w:p>
          <w:p w14:paraId="3686FCA1" w14:textId="474666BE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lastRenderedPageBreak/>
              <w:t xml:space="preserve">п) </w:t>
            </w:r>
            <w:r w:rsidR="007A54FD">
              <w:rPr>
                <w:rFonts w:ascii="Times New Roman" w:hAnsi="Times New Roman"/>
                <w:sz w:val="24"/>
                <w:szCs w:val="24"/>
                <w:lang w:val="x-none"/>
              </w:rPr>
              <w:t>документация на тези процеси и дейности;</w:t>
            </w:r>
          </w:p>
          <w:p w14:paraId="73967491" w14:textId="46336361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р) </w:t>
            </w:r>
            <w:r w:rsidR="007A54FD">
              <w:rPr>
                <w:rFonts w:ascii="Times New Roman" w:hAnsi="Times New Roman"/>
                <w:sz w:val="24"/>
                <w:szCs w:val="24"/>
                <w:lang w:val="x-none"/>
              </w:rPr>
              <w:t>служители, имащи отговорности към управлението, експлоатацията и поддръжката на информационните и комуникационните системи;</w:t>
            </w:r>
          </w:p>
          <w:p w14:paraId="6E02D4D6" w14:textId="023310C6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с) </w:t>
            </w:r>
            <w:r w:rsidR="007A54FD">
              <w:rPr>
                <w:rFonts w:ascii="Times New Roman" w:hAnsi="Times New Roman"/>
                <w:sz w:val="24"/>
                <w:szCs w:val="24"/>
                <w:lang w:val="x-none"/>
              </w:rPr>
              <w:t>външни организации, имащи отношение към управлението, експлоатацията и поддръжката на информационните и комуникационните системи;</w:t>
            </w:r>
          </w:p>
          <w:p w14:paraId="7DAC00D0" w14:textId="1F0D075C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т) </w:t>
            </w:r>
            <w:r w:rsidR="007A54FD">
              <w:rPr>
                <w:rFonts w:ascii="Times New Roman" w:hAnsi="Times New Roman"/>
                <w:sz w:val="24"/>
                <w:szCs w:val="24"/>
                <w:lang w:val="x-none"/>
              </w:rPr>
              <w:t>друго.</w:t>
            </w:r>
          </w:p>
          <w:p w14:paraId="2E25ACA9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2. Идентифициране на заплахите</w:t>
            </w:r>
          </w:p>
          <w:p w14:paraId="765DA9E8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За всеки от информационните активи в риск-регистъра се нанасят заплахите/нежеланите събития, които биха довели до нарушаване на конфиденциалността, интегритета и достъпността на информацията.</w:t>
            </w:r>
          </w:p>
          <w:p w14:paraId="024C134F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Трябва да се разгледат всички потенциални заплахи, произтичащи вътре или извън администрацията, настъпили случайно или преднамерено, като се има предвид уязвимостта на информационния актив към съответната заплаха. </w:t>
            </w:r>
          </w:p>
          <w:p w14:paraId="3C5E1B78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В риск-регистъра за всяка заплаха се вписва какви мерки са предприети срещу нея.</w:t>
            </w:r>
          </w:p>
          <w:p w14:paraId="0150AFE7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3. Оценка на въздействието</w:t>
            </w:r>
          </w:p>
          <w:p w14:paraId="0F78D436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В риск-регистъра за всяка заплаха се вписва оценката за нейното въздействие – щетите (материални и нематериални), които дадена заплаха може да причини, ако се реализира.</w:t>
            </w:r>
          </w:p>
          <w:p w14:paraId="2971E44D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За оценка на въздействието се използва петстепенна скала от 1 до 5, като при 1 щетите са незначителни, а при 5 са най-големи.</w:t>
            </w:r>
          </w:p>
          <w:p w14:paraId="1150244C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4. Оценка на вероятността</w:t>
            </w:r>
          </w:p>
          <w:p w14:paraId="4A8D29EC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Определя се вероятността за възникване на дадена заплаха, като се вземат предвид предприетите вече мерки. Колкото повече са предприетите защитни мерки, толкова по-ниска е вероятността от възникване на заплахата. При оценка на вероятността се вземат предвид следните фактори: </w:t>
            </w:r>
          </w:p>
          <w:p w14:paraId="248E2EAC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а) за реализиране на преднамерени заплахи: ниво на необходимите умения, леснота на достъпа, стимул и необходим ресурс;</w:t>
            </w:r>
          </w:p>
          <w:p w14:paraId="7DA135E0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б) за реализиране на случайни заплахи: година на производство на хардуера и софтуера, ниво на поддръжката им, квалификация на поддържащия персонал, ресорно обезпечаване на експлоатационните процеси, контрол върху тях и др.</w:t>
            </w:r>
          </w:p>
          <w:p w14:paraId="2C9CD7D3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В риск-регистъра за всяка заплаха се нанася оценката за нейното въздействие.</w:t>
            </w:r>
          </w:p>
          <w:p w14:paraId="18108076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За оценка на въздействието се използва петстепенна скала от 1 до 5 и като се има предвид определен период, например една година:</w:t>
            </w:r>
          </w:p>
          <w:p w14:paraId="4C1CFB4B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– вероятността от реализирането на заплахата е под 10 %;</w:t>
            </w:r>
          </w:p>
          <w:p w14:paraId="0EE15094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– вероятността от реализиране на заплахата е от 10 % до 30 %;</w:t>
            </w:r>
          </w:p>
          <w:p w14:paraId="74DCF98E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– вероятността от реализиране на заплахата е от 30 % до 50 %;</w:t>
            </w:r>
          </w:p>
          <w:p w14:paraId="5C5EBAD7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– вероятността от реализиране на заплахата е от 50 % до 70 %;</w:t>
            </w:r>
          </w:p>
          <w:p w14:paraId="3932A67E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– вероятността от реализиране на заплахата е над 70 %.</w:t>
            </w:r>
          </w:p>
          <w:p w14:paraId="672A0830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5. Оценка на риска</w:t>
            </w:r>
          </w:p>
          <w:p w14:paraId="5289002A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За получаване на оценката на риска се използва следната формула: </w:t>
            </w:r>
          </w:p>
          <w:p w14:paraId="6CD82638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/>
              </w:rPr>
              <w:t>(Оценка на въздействие х Оценка на вероятност) = Оценка на риска</w:t>
            </w:r>
          </w:p>
          <w:p w14:paraId="3B3F1FD1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6. Приоритизация на рисковете</w:t>
            </w:r>
          </w:p>
          <w:p w14:paraId="7FB456EF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С цел прилагане на пропорционални на заплахите механизми за защита се прави приоритизация на рисковете на база на тяхната оценка и следните прагове:</w:t>
            </w:r>
          </w:p>
          <w:tbl>
            <w:tblPr>
              <w:tblW w:w="10230" w:type="dxa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15"/>
              <w:gridCol w:w="5115"/>
            </w:tblGrid>
            <w:tr w:rsidR="00575BF3" w14:paraId="36EF5436" w14:textId="77777777" w:rsidTr="009207B3">
              <w:trPr>
                <w:tblCellSpacing w:w="0" w:type="dxa"/>
              </w:trPr>
              <w:tc>
                <w:tcPr>
                  <w:tcW w:w="508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14:paraId="44781000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</w:pPr>
                </w:p>
                <w:p w14:paraId="4D0AAF88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x-non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x-none"/>
                    </w:rPr>
                    <w:t>Приоритет на риска</w:t>
                  </w:r>
                </w:p>
              </w:tc>
              <w:tc>
                <w:tcPr>
                  <w:tcW w:w="508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14:paraId="2DFCE4F3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</w:pPr>
                </w:p>
                <w:p w14:paraId="59E8115F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x-non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x-none"/>
                    </w:rPr>
                    <w:t>Оценка на риска</w:t>
                  </w:r>
                </w:p>
              </w:tc>
            </w:tr>
            <w:tr w:rsidR="00575BF3" w14:paraId="31603546" w14:textId="77777777" w:rsidTr="009207B3">
              <w:trPr>
                <w:tblCellSpacing w:w="0" w:type="dxa"/>
              </w:trPr>
              <w:tc>
                <w:tcPr>
                  <w:tcW w:w="508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14:paraId="167E6846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</w:pPr>
                </w:p>
                <w:p w14:paraId="0A72F1F1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  <w:lastRenderedPageBreak/>
                    <w:t>1</w:t>
                  </w:r>
                </w:p>
              </w:tc>
              <w:tc>
                <w:tcPr>
                  <w:tcW w:w="508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14:paraId="76B859FA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</w:pPr>
                </w:p>
                <w:p w14:paraId="1960CB33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  <w:lastRenderedPageBreak/>
                    <w:t>от 17 до 25</w:t>
                  </w:r>
                </w:p>
              </w:tc>
            </w:tr>
            <w:tr w:rsidR="00575BF3" w14:paraId="49459322" w14:textId="77777777" w:rsidTr="009207B3">
              <w:trPr>
                <w:tblCellSpacing w:w="0" w:type="dxa"/>
              </w:trPr>
              <w:tc>
                <w:tcPr>
                  <w:tcW w:w="508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14:paraId="52E89EC9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</w:pPr>
                </w:p>
                <w:p w14:paraId="4120757D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  <w:t>2</w:t>
                  </w:r>
                </w:p>
              </w:tc>
              <w:tc>
                <w:tcPr>
                  <w:tcW w:w="508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14:paraId="1548088A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</w:pPr>
                </w:p>
                <w:p w14:paraId="077C5E98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  <w:t>от 8 до 17</w:t>
                  </w:r>
                </w:p>
              </w:tc>
            </w:tr>
            <w:tr w:rsidR="00575BF3" w14:paraId="0F8323BB" w14:textId="77777777" w:rsidTr="009207B3">
              <w:trPr>
                <w:tblCellSpacing w:w="0" w:type="dxa"/>
              </w:trPr>
              <w:tc>
                <w:tcPr>
                  <w:tcW w:w="508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14:paraId="0D2A55BF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</w:pPr>
                </w:p>
                <w:p w14:paraId="2C28446C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  <w:t>3</w:t>
                  </w:r>
                </w:p>
              </w:tc>
              <w:tc>
                <w:tcPr>
                  <w:tcW w:w="508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14:paraId="1FD5BA61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</w:pPr>
                </w:p>
                <w:p w14:paraId="655BD83A" w14:textId="77777777" w:rsidR="00575BF3" w:rsidRDefault="00575BF3" w:rsidP="009207B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  <w:t>от 1 до 8</w:t>
                  </w:r>
                </w:p>
              </w:tc>
            </w:tr>
          </w:tbl>
          <w:p w14:paraId="34FE7DAC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222806EE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 xml:space="preserve"> 7. Смекчаване на рисковете</w:t>
            </w:r>
          </w:p>
          <w:p w14:paraId="749E8AF6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Приема се, че за рискове с приоритет 3 не се изисква предприемане на допълнителни мерки за смекчаване на заплахите, които ги пораждат.</w:t>
            </w:r>
          </w:p>
          <w:p w14:paraId="0145E98B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За рисковете с приоритет 2 се прави анализ на възможните мерки, които биха могли да се предприемат за смекчаването им, и се преценява дали разходът на ресурси за прилагането им е пропорционален на щетите от реализиране на заплахата. В случай че щетите са повече от разходите, се определят отговорно лице и срок за прилагане на тези мерки.</w:t>
            </w:r>
          </w:p>
          <w:p w14:paraId="721D3BCE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За всички рискове с приоритет 1 се определят отговорни лица, планират се мерки, които биха намалили риска от реализиране на конкретната заплаха, и се определят срокове за прилагането им.</w:t>
            </w:r>
          </w:p>
          <w:p w14:paraId="668C4486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II. ПОСЛЕДВАЩИ ДЕЙСТВИЯ</w:t>
            </w:r>
          </w:p>
          <w:p w14:paraId="2E2DA345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27DD58B2" w14:textId="77777777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Отговорните лица за съответните рискове организират прилагането на планираните мерки за защита и наблюдават инцидентите и щетите, свързани с тях. При необходимост инициират нов анализ и оценка на риска за тази заплаха.</w:t>
            </w:r>
          </w:p>
          <w:p w14:paraId="71A07B34" w14:textId="05FCEF2F" w:rsidR="00575BF3" w:rsidRDefault="00575BF3" w:rsidP="00920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Ръководството на </w:t>
            </w:r>
            <w:r w:rsidR="007A54FD">
              <w:rPr>
                <w:rFonts w:ascii="Times New Roman" w:hAnsi="Times New Roman"/>
                <w:sz w:val="24"/>
                <w:szCs w:val="24"/>
                <w:lang w:val="bg-BG"/>
              </w:rPr>
              <w:t>ИАГ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организира периодично, но не по-малко от веднъж в годината, анализ и оценка на риска, както и при всяко изменение в информационната и/или комуникационната инфраструктура промяна на административната структура и функциите.</w:t>
            </w:r>
          </w:p>
        </w:tc>
      </w:tr>
    </w:tbl>
    <w:p w14:paraId="303B20A7" w14:textId="77777777" w:rsidR="00405F28" w:rsidRPr="0074697B" w:rsidRDefault="0001481F">
      <w:pPr>
        <w:rPr>
          <w:color w:val="FF0000"/>
        </w:rPr>
      </w:pPr>
    </w:p>
    <w:sectPr w:rsidR="00405F28" w:rsidRPr="0074697B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A17"/>
    <w:rsid w:val="0001481F"/>
    <w:rsid w:val="00023A17"/>
    <w:rsid w:val="00236221"/>
    <w:rsid w:val="002C6A0C"/>
    <w:rsid w:val="00486D93"/>
    <w:rsid w:val="00575BF3"/>
    <w:rsid w:val="005B30BC"/>
    <w:rsid w:val="0074697B"/>
    <w:rsid w:val="007A54FD"/>
    <w:rsid w:val="009D7770"/>
    <w:rsid w:val="00A5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49D31"/>
  <w15:chartTrackingRefBased/>
  <w15:docId w15:val="{46DBADEF-4617-4850-9358-4271939F1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5BF3"/>
    <w:pPr>
      <w:spacing w:after="200" w:line="276" w:lineRule="auto"/>
    </w:pPr>
    <w:rPr>
      <w:rFonts w:eastAsiaTheme="minorEastAs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2</cp:revision>
  <dcterms:created xsi:type="dcterms:W3CDTF">2020-09-29T07:22:00Z</dcterms:created>
  <dcterms:modified xsi:type="dcterms:W3CDTF">2020-09-29T07:22:00Z</dcterms:modified>
</cp:coreProperties>
</file>