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41E5" w:rsidRPr="006831D8" w:rsidRDefault="004D41E5" w:rsidP="004D41E5">
      <w:pPr>
        <w:spacing w:line="288" w:lineRule="auto"/>
        <w:ind w:left="0"/>
        <w:rPr>
          <w:rFonts w:ascii="Times New Roman" w:eastAsia="Calibri" w:hAnsi="Times New Roman" w:cs="Times New Roman"/>
          <w:b/>
          <w:color w:val="000000"/>
        </w:rPr>
      </w:pPr>
    </w:p>
    <w:p w:rsidR="00925B5E" w:rsidRPr="000D1B4F" w:rsidRDefault="004D41E5" w:rsidP="004D41E5">
      <w:pPr>
        <w:tabs>
          <w:tab w:val="left" w:pos="630"/>
        </w:tabs>
        <w:spacing w:line="288" w:lineRule="auto"/>
        <w:jc w:val="center"/>
        <w:rPr>
          <w:rFonts w:ascii="Times New Roman" w:eastAsia="Times New Roman" w:hAnsi="Times New Roman" w:cs="Times New Roman"/>
          <w:b/>
          <w:i/>
          <w:color w:val="000000" w:themeColor="text1"/>
          <w:sz w:val="16"/>
          <w:szCs w:val="16"/>
        </w:rPr>
      </w:pPr>
      <w:r w:rsidRPr="000D1B4F">
        <w:rPr>
          <w:rFonts w:ascii="Times New Roman" w:eastAsia="Calibri" w:hAnsi="Times New Roman" w:cs="Times New Roman"/>
          <w:b/>
          <w:i/>
          <w:color w:val="000000"/>
          <w:sz w:val="16"/>
          <w:szCs w:val="16"/>
        </w:rPr>
        <w:t xml:space="preserve">ДИНАМИКА И ТЕНДЕНЦИИ НА </w:t>
      </w:r>
      <w:r w:rsidR="00711DBE" w:rsidRPr="000D1B4F">
        <w:rPr>
          <w:rFonts w:ascii="Times New Roman" w:eastAsia="Times New Roman" w:hAnsi="Times New Roman" w:cs="Times New Roman"/>
          <w:b/>
          <w:i/>
          <w:color w:val="000000" w:themeColor="text1"/>
          <w:sz w:val="16"/>
          <w:szCs w:val="16"/>
        </w:rPr>
        <w:t>ИЗНОСА</w:t>
      </w:r>
      <w:r w:rsidR="00FC203E" w:rsidRPr="000D1B4F">
        <w:rPr>
          <w:rFonts w:ascii="Times New Roman" w:eastAsia="Times New Roman" w:hAnsi="Times New Roman" w:cs="Times New Roman"/>
          <w:b/>
          <w:i/>
          <w:color w:val="000000" w:themeColor="text1"/>
          <w:sz w:val="16"/>
          <w:szCs w:val="16"/>
        </w:rPr>
        <w:t>/</w:t>
      </w:r>
      <w:r w:rsidRPr="000D1B4F">
        <w:rPr>
          <w:rFonts w:ascii="Times New Roman" w:eastAsia="Times New Roman" w:hAnsi="Times New Roman" w:cs="Times New Roman"/>
          <w:b/>
          <w:i/>
          <w:color w:val="000000" w:themeColor="text1"/>
          <w:sz w:val="16"/>
          <w:szCs w:val="16"/>
        </w:rPr>
        <w:t>ИЗПРАЩАНЕТО</w:t>
      </w:r>
      <w:r w:rsidR="00FC203E" w:rsidRPr="000D1B4F">
        <w:rPr>
          <w:rFonts w:ascii="Times New Roman" w:eastAsia="Times New Roman" w:hAnsi="Times New Roman" w:cs="Times New Roman"/>
          <w:b/>
          <w:i/>
          <w:color w:val="000000" w:themeColor="text1"/>
          <w:sz w:val="16"/>
          <w:szCs w:val="16"/>
        </w:rPr>
        <w:t xml:space="preserve"> И ВНОСА/</w:t>
      </w:r>
      <w:r w:rsidRPr="000D1B4F">
        <w:rPr>
          <w:rFonts w:ascii="Times New Roman" w:eastAsia="Times New Roman" w:hAnsi="Times New Roman" w:cs="Times New Roman"/>
          <w:b/>
          <w:i/>
          <w:color w:val="000000" w:themeColor="text1"/>
          <w:sz w:val="16"/>
          <w:szCs w:val="16"/>
        </w:rPr>
        <w:t xml:space="preserve">ПРИСТИГАНЕТО НА ДЪРВА ЗА ГОРЕНЕ И НЕОБРАБОТЕН ДЪРВЕН МАТЕРИАЛ ПО КОДОВЕ ОТ </w:t>
      </w:r>
      <w:r w:rsidR="0037725A" w:rsidRPr="000D1B4F">
        <w:rPr>
          <w:rFonts w:ascii="Times New Roman" w:eastAsia="Times New Roman" w:hAnsi="Times New Roman" w:cs="Times New Roman"/>
          <w:b/>
          <w:i/>
          <w:color w:val="000000" w:themeColor="text1"/>
          <w:sz w:val="16"/>
          <w:szCs w:val="16"/>
        </w:rPr>
        <w:t xml:space="preserve">КОМБИНИРАНАТА НОМЕНКЛАТУРА </w:t>
      </w:r>
      <w:r w:rsidR="0037725A" w:rsidRPr="000D1B4F">
        <w:rPr>
          <w:rFonts w:ascii="Times New Roman" w:eastAsia="Times New Roman" w:hAnsi="Times New Roman" w:cs="Times New Roman"/>
          <w:b/>
          <w:i/>
          <w:color w:val="000000" w:themeColor="text1"/>
          <w:sz w:val="16"/>
          <w:szCs w:val="16"/>
          <w:lang w:val="en-US"/>
        </w:rPr>
        <w:t>(</w:t>
      </w:r>
      <w:r w:rsidRPr="000D1B4F">
        <w:rPr>
          <w:rFonts w:ascii="Times New Roman" w:eastAsia="Times New Roman" w:hAnsi="Times New Roman" w:cs="Times New Roman"/>
          <w:b/>
          <w:i/>
          <w:color w:val="000000" w:themeColor="text1"/>
          <w:sz w:val="16"/>
          <w:szCs w:val="16"/>
        </w:rPr>
        <w:t>КН</w:t>
      </w:r>
      <w:r w:rsidR="0037725A" w:rsidRPr="000D1B4F">
        <w:rPr>
          <w:rFonts w:ascii="Times New Roman" w:eastAsia="Times New Roman" w:hAnsi="Times New Roman" w:cs="Times New Roman"/>
          <w:b/>
          <w:i/>
          <w:color w:val="000000" w:themeColor="text1"/>
          <w:sz w:val="16"/>
          <w:szCs w:val="16"/>
          <w:lang w:val="en-US"/>
        </w:rPr>
        <w:t>)</w:t>
      </w:r>
      <w:r w:rsidRPr="000D1B4F">
        <w:rPr>
          <w:rFonts w:ascii="Times New Roman" w:eastAsia="Times New Roman" w:hAnsi="Times New Roman" w:cs="Times New Roman"/>
          <w:b/>
          <w:i/>
          <w:color w:val="000000" w:themeColor="text1"/>
          <w:sz w:val="16"/>
          <w:szCs w:val="16"/>
        </w:rPr>
        <w:t xml:space="preserve"> НА</w:t>
      </w:r>
      <w:r w:rsidR="0037725A" w:rsidRPr="000D1B4F">
        <w:rPr>
          <w:rFonts w:ascii="Times New Roman" w:eastAsia="Times New Roman" w:hAnsi="Times New Roman" w:cs="Times New Roman"/>
          <w:b/>
          <w:i/>
          <w:color w:val="000000" w:themeColor="text1"/>
          <w:sz w:val="16"/>
          <w:szCs w:val="16"/>
          <w:lang w:val="en-US"/>
        </w:rPr>
        <w:t xml:space="preserve"> </w:t>
      </w:r>
      <w:r w:rsidR="0037725A" w:rsidRPr="000D1B4F">
        <w:rPr>
          <w:rFonts w:ascii="Times New Roman" w:eastAsia="Times New Roman" w:hAnsi="Times New Roman" w:cs="Times New Roman"/>
          <w:b/>
          <w:i/>
          <w:color w:val="000000" w:themeColor="text1"/>
          <w:sz w:val="16"/>
          <w:szCs w:val="16"/>
        </w:rPr>
        <w:t xml:space="preserve">НАЦИОНАЛНИЯ СТАТИСТИЧЕСКИ ИНСТИТУТ </w:t>
      </w:r>
      <w:r w:rsidR="0037725A" w:rsidRPr="000D1B4F">
        <w:rPr>
          <w:rFonts w:ascii="Times New Roman" w:eastAsia="Times New Roman" w:hAnsi="Times New Roman" w:cs="Times New Roman"/>
          <w:b/>
          <w:i/>
          <w:color w:val="000000" w:themeColor="text1"/>
          <w:sz w:val="16"/>
          <w:szCs w:val="16"/>
          <w:lang w:val="en-US"/>
        </w:rPr>
        <w:t>(</w:t>
      </w:r>
      <w:r w:rsidR="0037725A" w:rsidRPr="000D1B4F">
        <w:rPr>
          <w:rFonts w:ascii="Times New Roman" w:eastAsia="Times New Roman" w:hAnsi="Times New Roman" w:cs="Times New Roman"/>
          <w:b/>
          <w:i/>
          <w:color w:val="000000" w:themeColor="text1"/>
          <w:sz w:val="16"/>
          <w:szCs w:val="16"/>
        </w:rPr>
        <w:t xml:space="preserve"> НСИ</w:t>
      </w:r>
      <w:r w:rsidR="0037725A" w:rsidRPr="000D1B4F">
        <w:rPr>
          <w:rFonts w:ascii="Times New Roman" w:eastAsia="Times New Roman" w:hAnsi="Times New Roman" w:cs="Times New Roman"/>
          <w:b/>
          <w:i/>
          <w:color w:val="000000" w:themeColor="text1"/>
          <w:sz w:val="16"/>
          <w:szCs w:val="16"/>
          <w:lang w:val="en-US"/>
        </w:rPr>
        <w:t xml:space="preserve">) </w:t>
      </w:r>
      <w:r w:rsidRPr="000D1B4F">
        <w:rPr>
          <w:rFonts w:ascii="Times New Roman" w:eastAsia="Times New Roman" w:hAnsi="Times New Roman" w:cs="Times New Roman"/>
          <w:b/>
          <w:i/>
          <w:color w:val="000000" w:themeColor="text1"/>
          <w:sz w:val="16"/>
          <w:szCs w:val="16"/>
        </w:rPr>
        <w:t xml:space="preserve">ОБЩО ПО ДВАТА КАНАЛА </w:t>
      </w:r>
      <w:r w:rsidR="00140B2B" w:rsidRPr="000D1B4F">
        <w:rPr>
          <w:rFonts w:ascii="Times New Roman" w:eastAsia="Times New Roman" w:hAnsi="Times New Roman" w:cs="Times New Roman"/>
          <w:b/>
          <w:i/>
          <w:color w:val="000000" w:themeColor="text1"/>
          <w:sz w:val="16"/>
          <w:szCs w:val="16"/>
        </w:rPr>
        <w:t>-</w:t>
      </w:r>
      <w:r w:rsidRPr="000D1B4F">
        <w:rPr>
          <w:rFonts w:ascii="Times New Roman" w:eastAsia="Times New Roman" w:hAnsi="Times New Roman" w:cs="Times New Roman"/>
          <w:b/>
          <w:i/>
          <w:color w:val="000000" w:themeColor="text1"/>
          <w:sz w:val="16"/>
          <w:szCs w:val="16"/>
        </w:rPr>
        <w:t>ИНТРАСТАТ И ЕКСТРАСТАТ ЗА ПЕРИОДА ОТ 2008 Г. ДО 2023 Г.</w:t>
      </w:r>
    </w:p>
    <w:p w:rsidR="00925B5E" w:rsidRPr="00A41160" w:rsidRDefault="00925B5E" w:rsidP="00346213">
      <w:pPr>
        <w:tabs>
          <w:tab w:val="left" w:pos="567"/>
        </w:tabs>
        <w:spacing w:line="288" w:lineRule="auto"/>
        <w:ind w:left="0"/>
        <w:rPr>
          <w:rFonts w:ascii="Times New Roman" w:eastAsia="Times New Roman" w:hAnsi="Times New Roman" w:cs="Times New Roman"/>
          <w:b/>
          <w:color w:val="000000" w:themeColor="text1"/>
        </w:rPr>
      </w:pPr>
    </w:p>
    <w:p w:rsidR="00932967" w:rsidRPr="00A41160" w:rsidRDefault="00D33985" w:rsidP="00121899">
      <w:pPr>
        <w:tabs>
          <w:tab w:val="left" w:pos="567"/>
        </w:tabs>
        <w:spacing w:line="302" w:lineRule="auto"/>
        <w:ind w:left="0" w:firstLine="567"/>
        <w:rPr>
          <w:rFonts w:ascii="Times New Roman" w:eastAsia="Calibri" w:hAnsi="Times New Roman" w:cs="Times New Roman"/>
          <w:sz w:val="24"/>
          <w:szCs w:val="24"/>
        </w:rPr>
      </w:pPr>
      <w:r w:rsidRPr="00A41160">
        <w:rPr>
          <w:rFonts w:ascii="Times New Roman" w:eastAsia="Calibri" w:hAnsi="Times New Roman" w:cs="Times New Roman"/>
          <w:sz w:val="24"/>
          <w:szCs w:val="24"/>
        </w:rPr>
        <w:t xml:space="preserve">На база предоставени </w:t>
      </w:r>
      <w:r w:rsidR="00925B5E" w:rsidRPr="00A41160">
        <w:rPr>
          <w:rFonts w:ascii="Times New Roman" w:eastAsia="Calibri" w:hAnsi="Times New Roman" w:cs="Times New Roman"/>
          <w:sz w:val="24"/>
          <w:szCs w:val="24"/>
        </w:rPr>
        <w:t>данни от Националния статистически институт (НСИ)</w:t>
      </w:r>
      <w:r w:rsidRPr="00A41160">
        <w:rPr>
          <w:rFonts w:ascii="Times New Roman" w:eastAsia="Calibri" w:hAnsi="Times New Roman" w:cs="Times New Roman"/>
          <w:sz w:val="24"/>
          <w:szCs w:val="24"/>
        </w:rPr>
        <w:t xml:space="preserve"> е направен анализ за динамиката и тенденциите на износа</w:t>
      </w:r>
      <w:r w:rsidR="00FC203E">
        <w:rPr>
          <w:rFonts w:ascii="Times New Roman" w:eastAsia="Calibri" w:hAnsi="Times New Roman" w:cs="Times New Roman"/>
          <w:sz w:val="24"/>
          <w:szCs w:val="24"/>
        </w:rPr>
        <w:t>/</w:t>
      </w:r>
      <w:r w:rsidR="00711DBE" w:rsidRPr="00A41160">
        <w:rPr>
          <w:rFonts w:ascii="Times New Roman" w:eastAsia="Calibri" w:hAnsi="Times New Roman" w:cs="Times New Roman"/>
          <w:sz w:val="24"/>
          <w:szCs w:val="24"/>
        </w:rPr>
        <w:t>изпращането</w:t>
      </w:r>
      <w:r w:rsidRPr="00A41160">
        <w:rPr>
          <w:rFonts w:ascii="Times New Roman" w:eastAsia="Calibri" w:hAnsi="Times New Roman" w:cs="Times New Roman"/>
          <w:sz w:val="24"/>
          <w:szCs w:val="24"/>
        </w:rPr>
        <w:t xml:space="preserve"> и вноса</w:t>
      </w:r>
      <w:r w:rsidR="00FC203E">
        <w:rPr>
          <w:rFonts w:ascii="Times New Roman" w:eastAsia="Calibri" w:hAnsi="Times New Roman" w:cs="Times New Roman"/>
          <w:sz w:val="24"/>
          <w:szCs w:val="24"/>
        </w:rPr>
        <w:t>/</w:t>
      </w:r>
      <w:r w:rsidR="00711DBE" w:rsidRPr="00A41160">
        <w:rPr>
          <w:rFonts w:ascii="Times New Roman" w:eastAsia="Calibri" w:hAnsi="Times New Roman" w:cs="Times New Roman"/>
          <w:sz w:val="24"/>
          <w:szCs w:val="24"/>
        </w:rPr>
        <w:t>пристигането</w:t>
      </w:r>
      <w:r w:rsidRPr="00A41160">
        <w:rPr>
          <w:rFonts w:ascii="Times New Roman" w:eastAsia="Calibri" w:hAnsi="Times New Roman" w:cs="Times New Roman"/>
          <w:sz w:val="24"/>
          <w:szCs w:val="24"/>
        </w:rPr>
        <w:t xml:space="preserve"> на дървени материали</w:t>
      </w:r>
      <w:r w:rsidR="00140B2B" w:rsidRPr="00A41160">
        <w:rPr>
          <w:rFonts w:ascii="Times New Roman" w:eastAsia="Calibri" w:hAnsi="Times New Roman" w:cs="Times New Roman"/>
          <w:sz w:val="24"/>
          <w:szCs w:val="24"/>
        </w:rPr>
        <w:t>, който</w:t>
      </w:r>
      <w:r w:rsidR="00925B5E" w:rsidRPr="00A41160">
        <w:rPr>
          <w:rFonts w:ascii="Times New Roman" w:eastAsia="Calibri" w:hAnsi="Times New Roman" w:cs="Times New Roman"/>
          <w:sz w:val="24"/>
          <w:szCs w:val="24"/>
        </w:rPr>
        <w:t xml:space="preserve"> обхваща периода от 2008 г. </w:t>
      </w:r>
      <w:r w:rsidRPr="00A41160">
        <w:rPr>
          <w:rFonts w:ascii="Times New Roman" w:eastAsia="Calibri" w:hAnsi="Times New Roman" w:cs="Times New Roman"/>
          <w:sz w:val="24"/>
          <w:szCs w:val="24"/>
        </w:rPr>
        <w:t>до 2023 г. Данните</w:t>
      </w:r>
      <w:r w:rsidR="004D41E5" w:rsidRPr="00A41160">
        <w:rPr>
          <w:rFonts w:ascii="Times New Roman" w:eastAsia="Calibri" w:hAnsi="Times New Roman" w:cs="Times New Roman"/>
          <w:sz w:val="24"/>
          <w:szCs w:val="24"/>
        </w:rPr>
        <w:t xml:space="preserve"> са </w:t>
      </w:r>
      <w:r w:rsidRPr="00A41160">
        <w:rPr>
          <w:rFonts w:ascii="Times New Roman" w:eastAsia="Calibri" w:hAnsi="Times New Roman" w:cs="Times New Roman"/>
          <w:sz w:val="24"/>
          <w:szCs w:val="24"/>
        </w:rPr>
        <w:t xml:space="preserve">представени в графичен </w:t>
      </w:r>
      <w:r w:rsidR="00925B5E" w:rsidRPr="00A41160">
        <w:rPr>
          <w:rFonts w:ascii="Times New Roman" w:eastAsia="Calibri" w:hAnsi="Times New Roman" w:cs="Times New Roman"/>
          <w:sz w:val="24"/>
          <w:szCs w:val="24"/>
        </w:rPr>
        <w:t>вид, съответно за изнесените</w:t>
      </w:r>
      <w:r w:rsidR="00FC203E">
        <w:rPr>
          <w:rFonts w:ascii="Times New Roman" w:eastAsia="Calibri" w:hAnsi="Times New Roman" w:cs="Times New Roman"/>
          <w:sz w:val="24"/>
          <w:szCs w:val="24"/>
        </w:rPr>
        <w:t>/</w:t>
      </w:r>
      <w:r w:rsidR="00925B5E" w:rsidRPr="00A41160">
        <w:rPr>
          <w:rFonts w:ascii="Times New Roman" w:eastAsia="Calibri" w:hAnsi="Times New Roman" w:cs="Times New Roman"/>
          <w:sz w:val="24"/>
          <w:szCs w:val="24"/>
        </w:rPr>
        <w:t>изпратените и внесените</w:t>
      </w:r>
      <w:r w:rsidR="00FC203E">
        <w:rPr>
          <w:rFonts w:ascii="Times New Roman" w:eastAsia="Calibri" w:hAnsi="Times New Roman" w:cs="Times New Roman"/>
          <w:sz w:val="24"/>
          <w:szCs w:val="24"/>
        </w:rPr>
        <w:t>/</w:t>
      </w:r>
      <w:r w:rsidR="00711DBE" w:rsidRPr="00A41160">
        <w:rPr>
          <w:rFonts w:ascii="Times New Roman" w:eastAsia="Calibri" w:hAnsi="Times New Roman" w:cs="Times New Roman"/>
          <w:sz w:val="24"/>
          <w:szCs w:val="24"/>
        </w:rPr>
        <w:t xml:space="preserve">пристигналите </w:t>
      </w:r>
      <w:r w:rsidR="00925B5E" w:rsidRPr="00A41160">
        <w:rPr>
          <w:rFonts w:ascii="Times New Roman" w:eastAsia="Calibri" w:hAnsi="Times New Roman" w:cs="Times New Roman"/>
          <w:sz w:val="24"/>
          <w:szCs w:val="24"/>
        </w:rPr>
        <w:t xml:space="preserve">количества дървени материали общо по </w:t>
      </w:r>
      <w:r w:rsidR="00925B5E" w:rsidRPr="00A41160">
        <w:rPr>
          <w:rFonts w:ascii="Times New Roman" w:eastAsia="Calibri" w:hAnsi="Times New Roman" w:cs="Times New Roman"/>
          <w:b/>
          <w:sz w:val="24"/>
          <w:szCs w:val="24"/>
        </w:rPr>
        <w:t>Раздел 44</w:t>
      </w:r>
      <w:r w:rsidR="00925B5E" w:rsidRPr="00A41160">
        <w:rPr>
          <w:rFonts w:ascii="Times New Roman" w:eastAsia="Calibri" w:hAnsi="Times New Roman" w:cs="Times New Roman"/>
          <w:sz w:val="24"/>
          <w:szCs w:val="24"/>
        </w:rPr>
        <w:t xml:space="preserve"> „Д</w:t>
      </w:r>
      <w:r w:rsidR="00925B5E" w:rsidRPr="00A41160">
        <w:rPr>
          <w:rFonts w:ascii="Times New Roman" w:eastAsia="Calibri" w:hAnsi="Times New Roman" w:cs="Times New Roman"/>
          <w:i/>
          <w:sz w:val="24"/>
          <w:szCs w:val="24"/>
        </w:rPr>
        <w:t>ървен материал и изделия от дървен материал</w:t>
      </w:r>
      <w:r w:rsidRPr="00A41160">
        <w:rPr>
          <w:rFonts w:ascii="Times New Roman" w:eastAsia="Calibri" w:hAnsi="Times New Roman" w:cs="Times New Roman"/>
          <w:i/>
          <w:sz w:val="24"/>
          <w:szCs w:val="24"/>
        </w:rPr>
        <w:t>….</w:t>
      </w:r>
      <w:r w:rsidR="00121899" w:rsidRPr="00A41160">
        <w:rPr>
          <w:rFonts w:ascii="Times New Roman" w:eastAsia="Calibri" w:hAnsi="Times New Roman" w:cs="Times New Roman"/>
          <w:i/>
          <w:sz w:val="24"/>
          <w:szCs w:val="24"/>
        </w:rPr>
        <w:t>”</w:t>
      </w:r>
      <w:r w:rsidR="00925B5E" w:rsidRPr="00A41160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925B5E" w:rsidRPr="00A41160">
        <w:rPr>
          <w:rFonts w:ascii="Times New Roman" w:eastAsia="Calibri" w:hAnsi="Times New Roman" w:cs="Times New Roman"/>
          <w:sz w:val="24"/>
          <w:szCs w:val="24"/>
        </w:rPr>
        <w:t xml:space="preserve">от Комбинираната номенклатура (КН) и e </w:t>
      </w:r>
      <w:r w:rsidRPr="00A41160">
        <w:rPr>
          <w:rFonts w:ascii="Times New Roman" w:eastAsia="Calibri" w:hAnsi="Times New Roman" w:cs="Times New Roman"/>
          <w:sz w:val="24"/>
          <w:szCs w:val="24"/>
        </w:rPr>
        <w:t xml:space="preserve">ориентиран </w:t>
      </w:r>
      <w:r w:rsidR="00925B5E" w:rsidRPr="00A41160">
        <w:rPr>
          <w:rFonts w:ascii="Times New Roman" w:eastAsia="Calibri" w:hAnsi="Times New Roman" w:cs="Times New Roman"/>
          <w:sz w:val="24"/>
          <w:szCs w:val="24"/>
        </w:rPr>
        <w:t xml:space="preserve">предимно върху </w:t>
      </w:r>
      <w:r w:rsidR="00FC203E">
        <w:rPr>
          <w:rFonts w:ascii="Times New Roman" w:eastAsia="Calibri" w:hAnsi="Times New Roman" w:cs="Times New Roman"/>
          <w:sz w:val="24"/>
          <w:szCs w:val="24"/>
        </w:rPr>
        <w:t>износа/</w:t>
      </w:r>
      <w:r w:rsidR="00711DBE" w:rsidRPr="00A41160">
        <w:rPr>
          <w:rFonts w:ascii="Times New Roman" w:eastAsia="Calibri" w:hAnsi="Times New Roman" w:cs="Times New Roman"/>
          <w:sz w:val="24"/>
          <w:szCs w:val="24"/>
        </w:rPr>
        <w:t xml:space="preserve">изпращането </w:t>
      </w:r>
      <w:r w:rsidR="00925B5E" w:rsidRPr="00A41160">
        <w:rPr>
          <w:rFonts w:ascii="Times New Roman" w:eastAsia="Calibri" w:hAnsi="Times New Roman" w:cs="Times New Roman"/>
          <w:sz w:val="24"/>
          <w:szCs w:val="24"/>
        </w:rPr>
        <w:t xml:space="preserve">и </w:t>
      </w:r>
      <w:r w:rsidR="00FC203E">
        <w:rPr>
          <w:rFonts w:ascii="Times New Roman" w:eastAsia="Calibri" w:hAnsi="Times New Roman" w:cs="Times New Roman"/>
          <w:sz w:val="24"/>
          <w:szCs w:val="24"/>
        </w:rPr>
        <w:t>вноса/</w:t>
      </w:r>
      <w:r w:rsidR="00711DBE" w:rsidRPr="00A41160">
        <w:rPr>
          <w:rFonts w:ascii="Times New Roman" w:eastAsia="Calibri" w:hAnsi="Times New Roman" w:cs="Times New Roman"/>
          <w:sz w:val="24"/>
          <w:szCs w:val="24"/>
        </w:rPr>
        <w:t xml:space="preserve">пристигането </w:t>
      </w:r>
      <w:r w:rsidR="00925B5E" w:rsidRPr="00A41160">
        <w:rPr>
          <w:rFonts w:ascii="Times New Roman" w:eastAsia="Calibri" w:hAnsi="Times New Roman" w:cs="Times New Roman"/>
          <w:sz w:val="24"/>
          <w:szCs w:val="24"/>
        </w:rPr>
        <w:t>на</w:t>
      </w:r>
      <w:r w:rsidR="00121899" w:rsidRPr="00A41160">
        <w:rPr>
          <w:rFonts w:ascii="Times New Roman" w:eastAsia="Calibri" w:hAnsi="Times New Roman" w:cs="Times New Roman"/>
          <w:sz w:val="24"/>
          <w:szCs w:val="24"/>
        </w:rPr>
        <w:t>:</w:t>
      </w:r>
      <w:r w:rsidR="00925B5E" w:rsidRPr="00A4116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25B5E" w:rsidRPr="00A41160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дървата за горене</w:t>
      </w:r>
      <w:r w:rsidR="00925B5E" w:rsidRPr="00A41160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(код 4401)</w:t>
      </w:r>
      <w:r w:rsidR="00121899" w:rsidRPr="00A41160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</w:t>
      </w:r>
      <w:r w:rsidR="004D41E5" w:rsidRPr="00A41160">
        <w:rPr>
          <w:rFonts w:ascii="Times New Roman" w:eastAsia="Calibri" w:hAnsi="Times New Roman" w:cs="Times New Roman"/>
          <w:sz w:val="24"/>
          <w:szCs w:val="24"/>
        </w:rPr>
        <w:t>и</w:t>
      </w:r>
      <w:r w:rsidRPr="00A4116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925B5E" w:rsidRPr="00A41160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необработен дървен материал </w:t>
      </w:r>
      <w:r w:rsidR="00925B5E" w:rsidRPr="00A4116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(</w:t>
      </w:r>
      <w:r w:rsidR="00925B5E" w:rsidRPr="00A41160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код 4403</w:t>
      </w:r>
      <w:r w:rsidR="00711DBE" w:rsidRPr="00A41160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</w:t>
      </w:r>
      <w:r w:rsidR="00925B5E" w:rsidRPr="00A41160">
        <w:rPr>
          <w:rFonts w:ascii="Times New Roman" w:eastAsia="Calibri" w:hAnsi="Times New Roman" w:cs="Times New Roman"/>
          <w:sz w:val="24"/>
          <w:szCs w:val="24"/>
        </w:rPr>
        <w:t xml:space="preserve">и общо за двата кода </w:t>
      </w:r>
      <w:r w:rsidR="00925B5E" w:rsidRPr="00A41160">
        <w:rPr>
          <w:rFonts w:ascii="Times New Roman" w:eastAsia="Calibri" w:hAnsi="Times New Roman" w:cs="Times New Roman"/>
          <w:i/>
          <w:sz w:val="24"/>
          <w:szCs w:val="24"/>
        </w:rPr>
        <w:t xml:space="preserve">(код 4401+код 4403), </w:t>
      </w:r>
      <w:r w:rsidR="00925B5E" w:rsidRPr="00A41160">
        <w:rPr>
          <w:rFonts w:ascii="Times New Roman" w:eastAsia="Calibri" w:hAnsi="Times New Roman" w:cs="Times New Roman"/>
          <w:sz w:val="24"/>
          <w:szCs w:val="24"/>
        </w:rPr>
        <w:t>по двата канала</w:t>
      </w:r>
      <w:r w:rsidR="00FD1E72" w:rsidRPr="00A41160">
        <w:rPr>
          <w:rFonts w:ascii="Times New Roman" w:eastAsia="Calibri" w:hAnsi="Times New Roman" w:cs="Times New Roman"/>
          <w:sz w:val="24"/>
          <w:szCs w:val="24"/>
        </w:rPr>
        <w:t>:</w:t>
      </w:r>
      <w:r w:rsidR="00925B5E" w:rsidRPr="00A4116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925B5E" w:rsidRPr="00A41160">
        <w:rPr>
          <w:rFonts w:ascii="Times New Roman" w:eastAsia="Calibri" w:hAnsi="Times New Roman" w:cs="Times New Roman"/>
          <w:sz w:val="24"/>
          <w:szCs w:val="24"/>
        </w:rPr>
        <w:t>Интрастат</w:t>
      </w:r>
      <w:proofErr w:type="spellEnd"/>
      <w:r w:rsidR="00925B5E" w:rsidRPr="00A4116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D1E72" w:rsidRPr="00A41160">
        <w:rPr>
          <w:rFonts w:ascii="Times New Roman" w:eastAsia="Calibri" w:hAnsi="Times New Roman" w:cs="Times New Roman"/>
          <w:sz w:val="24"/>
          <w:szCs w:val="24"/>
        </w:rPr>
        <w:t>- вътрешно общностни сделки</w:t>
      </w:r>
      <w:r w:rsidR="00925B5E" w:rsidRPr="00A41160">
        <w:rPr>
          <w:rFonts w:ascii="Times New Roman" w:eastAsia="Calibri" w:hAnsi="Times New Roman" w:cs="Times New Roman"/>
          <w:sz w:val="24"/>
          <w:szCs w:val="24"/>
        </w:rPr>
        <w:t xml:space="preserve"> и</w:t>
      </w:r>
      <w:r w:rsidRPr="00A4116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A41160">
        <w:rPr>
          <w:rFonts w:ascii="Times New Roman" w:eastAsia="Calibri" w:hAnsi="Times New Roman" w:cs="Times New Roman"/>
          <w:sz w:val="24"/>
          <w:szCs w:val="24"/>
        </w:rPr>
        <w:t>Екстрастат</w:t>
      </w:r>
      <w:proofErr w:type="spellEnd"/>
      <w:r w:rsidR="00711DBE" w:rsidRPr="00A4116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D1E72" w:rsidRPr="00A41160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711DBE" w:rsidRPr="00A41160">
        <w:rPr>
          <w:rFonts w:ascii="Times New Roman" w:eastAsia="Calibri" w:hAnsi="Times New Roman" w:cs="Times New Roman"/>
          <w:sz w:val="24"/>
          <w:szCs w:val="24"/>
        </w:rPr>
        <w:t>сделки/дост</w:t>
      </w:r>
      <w:r w:rsidR="00FD1E72" w:rsidRPr="00A41160">
        <w:rPr>
          <w:rFonts w:ascii="Times New Roman" w:eastAsia="Calibri" w:hAnsi="Times New Roman" w:cs="Times New Roman"/>
          <w:sz w:val="24"/>
          <w:szCs w:val="24"/>
        </w:rPr>
        <w:t>авки към трети страни, извън ЕС</w:t>
      </w:r>
      <w:r w:rsidR="00711DBE" w:rsidRPr="00A41160">
        <w:rPr>
          <w:rFonts w:ascii="Times New Roman" w:eastAsia="Calibri" w:hAnsi="Times New Roman" w:cs="Times New Roman"/>
          <w:sz w:val="24"/>
          <w:szCs w:val="24"/>
        </w:rPr>
        <w:t>.</w:t>
      </w:r>
    </w:p>
    <w:p w:rsidR="00D33985" w:rsidRPr="00A41160" w:rsidRDefault="00D33985" w:rsidP="00121899">
      <w:pPr>
        <w:tabs>
          <w:tab w:val="left" w:pos="567"/>
        </w:tabs>
        <w:spacing w:line="302" w:lineRule="auto"/>
        <w:ind w:left="0" w:firstLine="567"/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</w:pPr>
    </w:p>
    <w:p w:rsidR="004D41E5" w:rsidRPr="00A41160" w:rsidRDefault="00346213" w:rsidP="00346213">
      <w:pPr>
        <w:tabs>
          <w:tab w:val="left" w:pos="567"/>
        </w:tabs>
        <w:spacing w:line="302" w:lineRule="auto"/>
        <w:ind w:left="0" w:firstLine="567"/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</w:pPr>
      <w:r w:rsidRPr="00A41160"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  <w:t>И</w:t>
      </w:r>
      <w:r w:rsidR="00711DBE" w:rsidRPr="00A41160"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  <w:t>знос</w:t>
      </w:r>
      <w:r w:rsidR="00FD1E72" w:rsidRPr="00A41160"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  <w:t>/</w:t>
      </w:r>
      <w:r w:rsidRPr="00A41160"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  <w:t xml:space="preserve">изпращане на дърва за горене по код 4401, необработен дървен материал по код 4403 от КН и общо по двата кода </w:t>
      </w:r>
      <w:r w:rsidRPr="00A41160">
        <w:rPr>
          <w:rFonts w:ascii="Times New Roman" w:eastAsia="Calibri" w:hAnsi="Times New Roman" w:cs="Times New Roman"/>
          <w:b/>
          <w:i/>
          <w:sz w:val="24"/>
          <w:szCs w:val="24"/>
        </w:rPr>
        <w:t>(код 4401+код 4403)</w:t>
      </w:r>
      <w:r w:rsidRPr="00A41160"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  <w:t xml:space="preserve"> </w:t>
      </w:r>
      <w:r w:rsidRPr="00A41160">
        <w:rPr>
          <w:rFonts w:ascii="Times New Roman" w:hAnsi="Times New Roman" w:cs="Times New Roman"/>
          <w:b/>
          <w:bCs/>
          <w:i/>
          <w:sz w:val="24"/>
          <w:szCs w:val="24"/>
        </w:rPr>
        <w:t>по години за периода от 2008 г. до 2023 г.</w:t>
      </w:r>
    </w:p>
    <w:p w:rsidR="00FF7486" w:rsidRPr="00A41160" w:rsidRDefault="00356788" w:rsidP="00346213">
      <w:pPr>
        <w:tabs>
          <w:tab w:val="left" w:pos="567"/>
        </w:tabs>
        <w:spacing w:line="302" w:lineRule="auto"/>
        <w:ind w:left="0" w:firstLine="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A411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Проследявайки динамиката на </w:t>
      </w:r>
      <w:r w:rsidR="00711DBE" w:rsidRPr="00A41160">
        <w:rPr>
          <w:rFonts w:ascii="Times New Roman" w:eastAsia="Calibri" w:hAnsi="Times New Roman" w:cs="Times New Roman"/>
          <w:sz w:val="24"/>
          <w:szCs w:val="24"/>
        </w:rPr>
        <w:t>изнесените</w:t>
      </w:r>
      <w:r w:rsidR="00FD1E72" w:rsidRPr="00A41160">
        <w:rPr>
          <w:rFonts w:ascii="Times New Roman" w:eastAsia="Calibri" w:hAnsi="Times New Roman" w:cs="Times New Roman"/>
          <w:sz w:val="24"/>
          <w:szCs w:val="24"/>
        </w:rPr>
        <w:t>/</w:t>
      </w:r>
      <w:r w:rsidR="00711DBE" w:rsidRPr="00A41160">
        <w:rPr>
          <w:rFonts w:ascii="Times New Roman" w:eastAsia="Calibri" w:hAnsi="Times New Roman" w:cs="Times New Roman"/>
          <w:sz w:val="24"/>
          <w:szCs w:val="24"/>
        </w:rPr>
        <w:t xml:space="preserve">изпратените </w:t>
      </w:r>
      <w:r w:rsidRPr="00A411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количества дървени материали за периода </w:t>
      </w:r>
      <w:r w:rsidR="00711DBE" w:rsidRPr="00A411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от 2008 г. до</w:t>
      </w:r>
      <w:r w:rsidRPr="00A411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2014 г., се констатира </w:t>
      </w:r>
      <w:r w:rsidR="00121899" w:rsidRPr="00A411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нарастваща тенденция </w:t>
      </w:r>
      <w:r w:rsidR="00FD1E72" w:rsidRPr="00A411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и </w:t>
      </w:r>
      <w:r w:rsidR="00121899" w:rsidRPr="00A411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по </w:t>
      </w:r>
      <w:r w:rsidR="00FD1E72" w:rsidRPr="00A411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двата кода: </w:t>
      </w:r>
      <w:r w:rsidR="00121899" w:rsidRPr="00A4116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код 4401</w:t>
      </w:r>
      <w:r w:rsidR="00121899" w:rsidRPr="00A411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и </w:t>
      </w:r>
      <w:r w:rsidR="00121899" w:rsidRPr="00A4116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код 4403</w:t>
      </w:r>
      <w:r w:rsidR="00121899" w:rsidRPr="00A411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FD1E72" w:rsidRPr="00A411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съответно</w:t>
      </w:r>
      <w:r w:rsidR="00121899" w:rsidRPr="00A411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и общо за двата кода</w:t>
      </w:r>
      <w:r w:rsidR="00346213" w:rsidRPr="00A411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  <w:r w:rsidRPr="00A411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Pr="00A411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  <w:r w:rsidR="00FF7486" w:rsidRPr="00A41160">
        <w:rPr>
          <w:rFonts w:ascii="Times New Roman" w:hAnsi="Times New Roman" w:cs="Times New Roman"/>
          <w:noProof/>
          <w:sz w:val="18"/>
          <w:szCs w:val="18"/>
          <w:lang w:eastAsia="bg-BG"/>
        </w:rPr>
        <w:drawing>
          <wp:inline distT="0" distB="0" distL="0" distR="0" wp14:anchorId="2FEF78C6" wp14:editId="10F9087E">
            <wp:extent cx="7332453" cy="2640330"/>
            <wp:effectExtent l="0" t="0" r="1905" b="7620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FF7486" w:rsidRPr="0037725A" w:rsidRDefault="00FF7486" w:rsidP="008A41C8">
      <w:pPr>
        <w:ind w:left="142" w:right="-142" w:firstLine="1145"/>
        <w:rPr>
          <w:rFonts w:ascii="Times New Roman" w:hAnsi="Times New Roman" w:cs="Times New Roman"/>
          <w:b/>
          <w:bCs/>
          <w:i/>
          <w:sz w:val="18"/>
          <w:szCs w:val="18"/>
          <w:lang w:val="en-US"/>
        </w:rPr>
      </w:pPr>
      <w:r w:rsidRPr="00A41160">
        <w:rPr>
          <w:rFonts w:ascii="Times New Roman" w:hAnsi="Times New Roman" w:cs="Times New Roman"/>
          <w:b/>
          <w:i/>
          <w:sz w:val="18"/>
          <w:szCs w:val="18"/>
        </w:rPr>
        <w:t xml:space="preserve">фиг. 1.  </w:t>
      </w:r>
      <w:r w:rsidRPr="00A41160">
        <w:rPr>
          <w:rFonts w:ascii="Times New Roman" w:hAnsi="Times New Roman" w:cs="Times New Roman"/>
          <w:b/>
          <w:bCs/>
          <w:i/>
          <w:sz w:val="18"/>
          <w:szCs w:val="18"/>
        </w:rPr>
        <w:t>Динамика на износа</w:t>
      </w:r>
      <w:r w:rsidR="00FD1E72" w:rsidRPr="00A41160">
        <w:rPr>
          <w:rFonts w:ascii="Times New Roman" w:hAnsi="Times New Roman" w:cs="Times New Roman"/>
          <w:b/>
          <w:bCs/>
          <w:i/>
          <w:sz w:val="18"/>
          <w:szCs w:val="18"/>
        </w:rPr>
        <w:t>/</w:t>
      </w:r>
      <w:r w:rsidRPr="00A41160">
        <w:rPr>
          <w:rFonts w:ascii="Times New Roman" w:hAnsi="Times New Roman" w:cs="Times New Roman"/>
          <w:b/>
          <w:bCs/>
          <w:i/>
          <w:sz w:val="18"/>
          <w:szCs w:val="18"/>
        </w:rPr>
        <w:t>изпращането на дървени материали по код 4401, код 4403 и общо за двата кода в тон по години за периода от 2008 г. до 2023 г. включително</w:t>
      </w:r>
      <w:r w:rsidR="0037725A">
        <w:rPr>
          <w:rFonts w:ascii="Times New Roman" w:hAnsi="Times New Roman" w:cs="Times New Roman"/>
          <w:b/>
          <w:bCs/>
          <w:i/>
          <w:sz w:val="18"/>
          <w:szCs w:val="18"/>
          <w:lang w:val="en-US"/>
        </w:rPr>
        <w:t>.</w:t>
      </w:r>
    </w:p>
    <w:p w:rsidR="00FD1E72" w:rsidRPr="00A41160" w:rsidRDefault="00FD1E72" w:rsidP="008A41C8">
      <w:pPr>
        <w:ind w:left="142" w:right="-142" w:firstLine="1145"/>
        <w:rPr>
          <w:rFonts w:cstheme="minorHAnsi"/>
          <w:b/>
          <w:bCs/>
          <w:i/>
          <w:sz w:val="18"/>
          <w:szCs w:val="18"/>
        </w:rPr>
      </w:pPr>
    </w:p>
    <w:p w:rsidR="00FF7486" w:rsidRPr="00A41160" w:rsidRDefault="00356788" w:rsidP="00FF7486">
      <w:pPr>
        <w:spacing w:line="302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A41160">
        <w:rPr>
          <w:rFonts w:ascii="Times New Roman" w:eastAsia="Calibri" w:hAnsi="Times New Roman" w:cs="Times New Roman"/>
          <w:sz w:val="24"/>
          <w:szCs w:val="24"/>
        </w:rPr>
        <w:t xml:space="preserve">Сравнявайки количествата на </w:t>
      </w:r>
      <w:r w:rsidR="00711DBE" w:rsidRPr="00A41160">
        <w:rPr>
          <w:rFonts w:ascii="Times New Roman" w:eastAsia="Calibri" w:hAnsi="Times New Roman" w:cs="Times New Roman"/>
          <w:sz w:val="24"/>
          <w:szCs w:val="24"/>
        </w:rPr>
        <w:t>изнесените</w:t>
      </w:r>
      <w:r w:rsidR="00FD1E72" w:rsidRPr="00A41160">
        <w:rPr>
          <w:rFonts w:ascii="Times New Roman" w:eastAsia="Calibri" w:hAnsi="Times New Roman" w:cs="Times New Roman"/>
          <w:sz w:val="24"/>
          <w:szCs w:val="24"/>
        </w:rPr>
        <w:t>/</w:t>
      </w:r>
      <w:r w:rsidR="00711DBE" w:rsidRPr="00A41160">
        <w:rPr>
          <w:rFonts w:ascii="Times New Roman" w:eastAsia="Calibri" w:hAnsi="Times New Roman" w:cs="Times New Roman"/>
          <w:sz w:val="24"/>
          <w:szCs w:val="24"/>
        </w:rPr>
        <w:t xml:space="preserve">изпратените </w:t>
      </w:r>
      <w:r w:rsidR="00BE5DCE" w:rsidRPr="00A41160">
        <w:rPr>
          <w:rFonts w:ascii="Times New Roman" w:hAnsi="Times New Roman" w:cs="Times New Roman"/>
          <w:sz w:val="24"/>
          <w:szCs w:val="24"/>
        </w:rPr>
        <w:t>дървени материали през 2014 г.</w:t>
      </w:r>
      <w:r w:rsidR="00FD1E72" w:rsidRPr="00A41160">
        <w:rPr>
          <w:rFonts w:ascii="Times New Roman" w:hAnsi="Times New Roman" w:cs="Times New Roman"/>
          <w:sz w:val="24"/>
          <w:szCs w:val="24"/>
        </w:rPr>
        <w:t xml:space="preserve"> с</w:t>
      </w:r>
      <w:r w:rsidR="00FF7486" w:rsidRPr="00A41160">
        <w:rPr>
          <w:rFonts w:ascii="Times New Roman" w:hAnsi="Times New Roman" w:cs="Times New Roman"/>
          <w:sz w:val="24"/>
          <w:szCs w:val="24"/>
        </w:rPr>
        <w:t xml:space="preserve"> количествата </w:t>
      </w:r>
      <w:r w:rsidR="00121899" w:rsidRPr="00A41160">
        <w:rPr>
          <w:rFonts w:ascii="Times New Roman" w:hAnsi="Times New Roman" w:cs="Times New Roman"/>
          <w:sz w:val="24"/>
          <w:szCs w:val="24"/>
        </w:rPr>
        <w:t>за</w:t>
      </w:r>
      <w:r w:rsidR="00FF7486" w:rsidRPr="00A41160">
        <w:rPr>
          <w:rFonts w:ascii="Times New Roman" w:hAnsi="Times New Roman" w:cs="Times New Roman"/>
          <w:sz w:val="24"/>
          <w:szCs w:val="24"/>
        </w:rPr>
        <w:t xml:space="preserve"> 2</w:t>
      </w:r>
      <w:r w:rsidR="00FD1E72" w:rsidRPr="00A41160">
        <w:rPr>
          <w:rFonts w:ascii="Times New Roman" w:hAnsi="Times New Roman" w:cs="Times New Roman"/>
          <w:sz w:val="24"/>
          <w:szCs w:val="24"/>
        </w:rPr>
        <w:t>008 г., се констатира следното:</w:t>
      </w:r>
    </w:p>
    <w:p w:rsidR="00FF7486" w:rsidRPr="00A41160" w:rsidRDefault="00FF7486" w:rsidP="00FF7486">
      <w:pPr>
        <w:spacing w:line="302" w:lineRule="auto"/>
        <w:ind w:left="0" w:firstLine="709"/>
        <w:rPr>
          <w:rFonts w:ascii="Times New Roman" w:eastAsia="Calibri" w:hAnsi="Times New Roman" w:cs="Times New Roman"/>
          <w:sz w:val="24"/>
          <w:szCs w:val="24"/>
        </w:rPr>
      </w:pPr>
      <w:r w:rsidRPr="00A41160">
        <w:rPr>
          <w:rFonts w:ascii="Times New Roman" w:hAnsi="Times New Roman" w:cs="Times New Roman"/>
          <w:sz w:val="24"/>
          <w:szCs w:val="24"/>
        </w:rPr>
        <w:t xml:space="preserve">1. </w:t>
      </w:r>
      <w:r w:rsidR="00711DBE" w:rsidRPr="00A41160">
        <w:rPr>
          <w:rFonts w:ascii="Times New Roman" w:eastAsia="Calibri" w:hAnsi="Times New Roman" w:cs="Times New Roman"/>
          <w:sz w:val="24"/>
          <w:szCs w:val="24"/>
        </w:rPr>
        <w:t>Износът</w:t>
      </w:r>
      <w:r w:rsidR="006F7362" w:rsidRPr="00A41160">
        <w:rPr>
          <w:rFonts w:ascii="Times New Roman" w:eastAsia="Calibri" w:hAnsi="Times New Roman" w:cs="Times New Roman"/>
          <w:sz w:val="24"/>
          <w:szCs w:val="24"/>
        </w:rPr>
        <w:t>/</w:t>
      </w:r>
      <w:r w:rsidRPr="00A41160">
        <w:rPr>
          <w:rFonts w:ascii="Times New Roman" w:eastAsia="Calibri" w:hAnsi="Times New Roman" w:cs="Times New Roman"/>
          <w:sz w:val="24"/>
          <w:szCs w:val="24"/>
        </w:rPr>
        <w:t>изпращането на дървени материали общо по двата кода</w:t>
      </w:r>
      <w:r w:rsidR="00356788" w:rsidRPr="00A41160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="00356788" w:rsidRPr="00A41160">
        <w:rPr>
          <w:rFonts w:ascii="Times New Roman" w:eastAsia="Calibri" w:hAnsi="Times New Roman" w:cs="Times New Roman"/>
          <w:i/>
          <w:sz w:val="24"/>
          <w:szCs w:val="24"/>
        </w:rPr>
        <w:t>4401</w:t>
      </w:r>
      <w:r w:rsidR="00356788" w:rsidRPr="00A41160">
        <w:rPr>
          <w:rFonts w:ascii="Times New Roman" w:eastAsia="Calibri" w:hAnsi="Times New Roman" w:cs="Times New Roman"/>
          <w:sz w:val="24"/>
          <w:szCs w:val="24"/>
        </w:rPr>
        <w:t xml:space="preserve"> +</w:t>
      </w:r>
      <w:r w:rsidR="00356788" w:rsidRPr="00A41160">
        <w:rPr>
          <w:rFonts w:ascii="Times New Roman" w:eastAsia="Calibri" w:hAnsi="Times New Roman" w:cs="Times New Roman"/>
          <w:i/>
          <w:sz w:val="24"/>
          <w:szCs w:val="24"/>
        </w:rPr>
        <w:t xml:space="preserve"> 4403</w:t>
      </w:r>
      <w:r w:rsidR="00356788" w:rsidRPr="00A41160">
        <w:rPr>
          <w:rFonts w:ascii="Times New Roman" w:eastAsia="Calibri" w:hAnsi="Times New Roman" w:cs="Times New Roman"/>
          <w:sz w:val="24"/>
          <w:szCs w:val="24"/>
        </w:rPr>
        <w:t>)</w:t>
      </w:r>
      <w:r w:rsidRPr="00A41160">
        <w:rPr>
          <w:rFonts w:ascii="Times New Roman" w:eastAsia="Calibri" w:hAnsi="Times New Roman" w:cs="Times New Roman"/>
          <w:sz w:val="24"/>
          <w:szCs w:val="24"/>
        </w:rPr>
        <w:t xml:space="preserve"> през 2014 г. нараства над 3,41 пъти спрямо 2008 г.</w:t>
      </w:r>
      <w:r w:rsidR="00BE5DCE" w:rsidRPr="00A41160">
        <w:rPr>
          <w:rFonts w:ascii="Times New Roman" w:eastAsia="Calibri" w:hAnsi="Times New Roman" w:cs="Times New Roman"/>
          <w:sz w:val="24"/>
          <w:szCs w:val="24"/>
        </w:rPr>
        <w:t>;</w:t>
      </w:r>
    </w:p>
    <w:p w:rsidR="00FF7486" w:rsidRPr="00A41160" w:rsidRDefault="00FF7486" w:rsidP="00FF7486">
      <w:pPr>
        <w:spacing w:line="302" w:lineRule="auto"/>
        <w:ind w:left="0" w:firstLine="709"/>
        <w:rPr>
          <w:rFonts w:ascii="Times New Roman" w:eastAsia="Calibri" w:hAnsi="Times New Roman" w:cs="Times New Roman"/>
          <w:sz w:val="24"/>
          <w:szCs w:val="24"/>
        </w:rPr>
      </w:pPr>
      <w:r w:rsidRPr="00A41160">
        <w:rPr>
          <w:rFonts w:ascii="Times New Roman" w:eastAsia="Calibri" w:hAnsi="Times New Roman" w:cs="Times New Roman"/>
          <w:sz w:val="24"/>
          <w:szCs w:val="24"/>
        </w:rPr>
        <w:t>2.</w:t>
      </w:r>
      <w:r w:rsidRPr="00A4116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711DBE" w:rsidRPr="00A41160">
        <w:rPr>
          <w:rFonts w:ascii="Times New Roman" w:eastAsia="Calibri" w:hAnsi="Times New Roman" w:cs="Times New Roman"/>
          <w:sz w:val="24"/>
          <w:szCs w:val="24"/>
        </w:rPr>
        <w:t>Износът</w:t>
      </w:r>
      <w:r w:rsidR="00285237" w:rsidRPr="00A41160">
        <w:rPr>
          <w:rFonts w:ascii="Times New Roman" w:eastAsia="Calibri" w:hAnsi="Times New Roman" w:cs="Times New Roman"/>
          <w:sz w:val="24"/>
          <w:szCs w:val="24"/>
        </w:rPr>
        <w:t>/</w:t>
      </w:r>
      <w:r w:rsidR="00711DBE" w:rsidRPr="00A41160">
        <w:rPr>
          <w:rFonts w:ascii="Times New Roman" w:eastAsia="Calibri" w:hAnsi="Times New Roman" w:cs="Times New Roman"/>
          <w:sz w:val="24"/>
          <w:szCs w:val="24"/>
        </w:rPr>
        <w:t xml:space="preserve">изпращането </w:t>
      </w:r>
      <w:r w:rsidRPr="00A41160">
        <w:rPr>
          <w:rFonts w:ascii="Times New Roman" w:eastAsia="Calibri" w:hAnsi="Times New Roman" w:cs="Times New Roman"/>
          <w:sz w:val="24"/>
          <w:szCs w:val="24"/>
        </w:rPr>
        <w:t>на дървата за горене</w:t>
      </w:r>
      <w:r w:rsidR="00F65A15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="00F65A15" w:rsidRPr="00711DBE">
        <w:rPr>
          <w:rFonts w:ascii="Times New Roman" w:eastAsia="Calibri" w:hAnsi="Times New Roman" w:cs="Times New Roman"/>
          <w:i/>
          <w:sz w:val="24"/>
          <w:szCs w:val="24"/>
        </w:rPr>
        <w:t>код 4401</w:t>
      </w:r>
      <w:r w:rsidR="00F65A15" w:rsidRPr="00F062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41160">
        <w:rPr>
          <w:rFonts w:ascii="Times New Roman" w:eastAsia="Calibri" w:hAnsi="Times New Roman" w:cs="Times New Roman"/>
          <w:sz w:val="24"/>
          <w:szCs w:val="24"/>
        </w:rPr>
        <w:t xml:space="preserve">през 2014 г. нараства </w:t>
      </w:r>
      <w:r w:rsidR="00285237" w:rsidRPr="00A41160">
        <w:rPr>
          <w:rFonts w:ascii="Times New Roman" w:eastAsia="Calibri" w:hAnsi="Times New Roman" w:cs="Times New Roman"/>
          <w:sz w:val="24"/>
          <w:szCs w:val="24"/>
        </w:rPr>
        <w:t xml:space="preserve">с над  611 хил. тона спрямо 2008 г. или </w:t>
      </w:r>
      <w:r w:rsidRPr="00A41160">
        <w:rPr>
          <w:rFonts w:ascii="Times New Roman" w:eastAsia="Calibri" w:hAnsi="Times New Roman" w:cs="Times New Roman"/>
          <w:sz w:val="24"/>
          <w:szCs w:val="24"/>
        </w:rPr>
        <w:t>над 6,60 пъти</w:t>
      </w:r>
      <w:r w:rsidR="00BE5DCE" w:rsidRPr="00A41160">
        <w:rPr>
          <w:rFonts w:ascii="Times New Roman" w:eastAsia="Calibri" w:hAnsi="Times New Roman" w:cs="Times New Roman"/>
          <w:sz w:val="24"/>
          <w:szCs w:val="24"/>
        </w:rPr>
        <w:t>;</w:t>
      </w:r>
    </w:p>
    <w:p w:rsidR="00FF7486" w:rsidRPr="00A41160" w:rsidRDefault="00FF7486" w:rsidP="00271D8E">
      <w:pPr>
        <w:spacing w:line="302" w:lineRule="auto"/>
        <w:ind w:left="0" w:firstLine="709"/>
        <w:rPr>
          <w:rFonts w:ascii="Times New Roman" w:eastAsia="Calibri" w:hAnsi="Times New Roman" w:cs="Times New Roman"/>
          <w:sz w:val="24"/>
          <w:szCs w:val="24"/>
        </w:rPr>
      </w:pPr>
      <w:r w:rsidRPr="00A41160">
        <w:rPr>
          <w:rFonts w:ascii="Times New Roman" w:eastAsia="Calibri" w:hAnsi="Times New Roman" w:cs="Times New Roman"/>
          <w:sz w:val="24"/>
          <w:szCs w:val="24"/>
        </w:rPr>
        <w:t xml:space="preserve">3. </w:t>
      </w:r>
      <w:r w:rsidR="00711DBE" w:rsidRPr="00A41160">
        <w:rPr>
          <w:rFonts w:ascii="Times New Roman" w:eastAsia="Calibri" w:hAnsi="Times New Roman" w:cs="Times New Roman"/>
          <w:sz w:val="24"/>
          <w:szCs w:val="24"/>
        </w:rPr>
        <w:t>Износът</w:t>
      </w:r>
      <w:r w:rsidR="00285237" w:rsidRPr="00A41160">
        <w:rPr>
          <w:rFonts w:ascii="Times New Roman" w:eastAsia="Calibri" w:hAnsi="Times New Roman" w:cs="Times New Roman"/>
          <w:sz w:val="24"/>
          <w:szCs w:val="24"/>
        </w:rPr>
        <w:t>/</w:t>
      </w:r>
      <w:r w:rsidR="00711DBE" w:rsidRPr="00A41160">
        <w:rPr>
          <w:rFonts w:ascii="Times New Roman" w:eastAsia="Calibri" w:hAnsi="Times New Roman" w:cs="Times New Roman"/>
          <w:sz w:val="24"/>
          <w:szCs w:val="24"/>
        </w:rPr>
        <w:t xml:space="preserve">изпращането </w:t>
      </w:r>
      <w:r w:rsidRPr="00A41160">
        <w:rPr>
          <w:rFonts w:ascii="Times New Roman" w:eastAsia="Calibri" w:hAnsi="Times New Roman" w:cs="Times New Roman"/>
          <w:sz w:val="24"/>
          <w:szCs w:val="24"/>
        </w:rPr>
        <w:t xml:space="preserve">на </w:t>
      </w:r>
      <w:r w:rsidR="00711DBE" w:rsidRPr="00A41160">
        <w:rPr>
          <w:rFonts w:ascii="Times New Roman" w:eastAsia="Calibri" w:hAnsi="Times New Roman" w:cs="Times New Roman"/>
          <w:sz w:val="24"/>
          <w:szCs w:val="24"/>
        </w:rPr>
        <w:t xml:space="preserve">необработен </w:t>
      </w:r>
      <w:r w:rsidRPr="00A41160">
        <w:rPr>
          <w:rFonts w:ascii="Times New Roman" w:eastAsia="Calibri" w:hAnsi="Times New Roman" w:cs="Times New Roman"/>
          <w:sz w:val="24"/>
          <w:szCs w:val="24"/>
        </w:rPr>
        <w:t xml:space="preserve">дървен материал </w:t>
      </w:r>
      <w:r w:rsidR="00F65A15" w:rsidRPr="00711DBE">
        <w:rPr>
          <w:rFonts w:ascii="Times New Roman" w:eastAsia="Calibri" w:hAnsi="Times New Roman" w:cs="Times New Roman"/>
          <w:i/>
          <w:sz w:val="24"/>
          <w:szCs w:val="24"/>
        </w:rPr>
        <w:t>код 4403</w:t>
      </w:r>
      <w:r w:rsidR="00F65A1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41160">
        <w:rPr>
          <w:rFonts w:ascii="Times New Roman" w:eastAsia="Calibri" w:hAnsi="Times New Roman" w:cs="Times New Roman"/>
          <w:sz w:val="24"/>
          <w:szCs w:val="24"/>
        </w:rPr>
        <w:t xml:space="preserve">през 2014 г. нараства </w:t>
      </w:r>
      <w:r w:rsidR="00285237" w:rsidRPr="00A41160">
        <w:rPr>
          <w:rFonts w:ascii="Times New Roman" w:eastAsia="Calibri" w:hAnsi="Times New Roman" w:cs="Times New Roman"/>
          <w:sz w:val="24"/>
          <w:szCs w:val="24"/>
        </w:rPr>
        <w:t>с над 246 хил. тона спрямо 2008 г., което е близо двукратно увеличение</w:t>
      </w:r>
      <w:r w:rsidRPr="00A41160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FF7486" w:rsidRPr="00F65A15" w:rsidRDefault="00340CC0" w:rsidP="00FF7486">
      <w:pPr>
        <w:spacing w:line="302" w:lineRule="auto"/>
        <w:ind w:left="0" w:firstLine="709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A41160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</w:t>
      </w:r>
      <w:r w:rsidR="00FF7486" w:rsidRPr="00A41160">
        <w:rPr>
          <w:rFonts w:ascii="Times New Roman" w:eastAsia="Calibri" w:hAnsi="Times New Roman" w:cs="Times New Roman"/>
          <w:b/>
          <w:sz w:val="24"/>
          <w:szCs w:val="24"/>
        </w:rPr>
        <w:t>рез 2014</w:t>
      </w:r>
      <w:r w:rsidR="00711DBE" w:rsidRPr="00A41160">
        <w:rPr>
          <w:rFonts w:ascii="Times New Roman" w:eastAsia="Calibri" w:hAnsi="Times New Roman" w:cs="Times New Roman"/>
          <w:b/>
          <w:sz w:val="24"/>
          <w:szCs w:val="24"/>
        </w:rPr>
        <w:t xml:space="preserve"> г. е налице пик при изнесените</w:t>
      </w:r>
      <w:r w:rsidR="00285237" w:rsidRPr="00A41160">
        <w:rPr>
          <w:rFonts w:ascii="Times New Roman" w:eastAsia="Calibri" w:hAnsi="Times New Roman" w:cs="Times New Roman"/>
          <w:b/>
          <w:sz w:val="24"/>
          <w:szCs w:val="24"/>
        </w:rPr>
        <w:t>/</w:t>
      </w:r>
      <w:r w:rsidR="00FF7486" w:rsidRPr="00A41160">
        <w:rPr>
          <w:rFonts w:ascii="Times New Roman" w:eastAsia="Calibri" w:hAnsi="Times New Roman" w:cs="Times New Roman"/>
          <w:b/>
          <w:sz w:val="24"/>
          <w:szCs w:val="24"/>
        </w:rPr>
        <w:t>изпратените количества дърва за горене</w:t>
      </w:r>
      <w:r w:rsidR="00285237" w:rsidRPr="00A4116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F65A15" w:rsidRPr="00F062FE">
        <w:rPr>
          <w:rFonts w:ascii="Times New Roman" w:eastAsia="Calibri" w:hAnsi="Times New Roman" w:cs="Times New Roman"/>
          <w:b/>
          <w:sz w:val="24"/>
          <w:szCs w:val="24"/>
          <w:lang w:val="en-US"/>
        </w:rPr>
        <w:t>(</w:t>
      </w:r>
      <w:r w:rsidR="00F65A15" w:rsidRPr="00F062FE">
        <w:rPr>
          <w:rFonts w:ascii="Times New Roman" w:eastAsia="Calibri" w:hAnsi="Times New Roman" w:cs="Times New Roman"/>
          <w:b/>
          <w:sz w:val="24"/>
          <w:szCs w:val="24"/>
        </w:rPr>
        <w:t>код 4401</w:t>
      </w:r>
      <w:r w:rsidR="00F65A15" w:rsidRPr="00F062FE">
        <w:rPr>
          <w:rFonts w:ascii="Times New Roman" w:eastAsia="Calibri" w:hAnsi="Times New Roman" w:cs="Times New Roman"/>
          <w:b/>
          <w:sz w:val="24"/>
          <w:szCs w:val="24"/>
          <w:lang w:val="en-US"/>
        </w:rPr>
        <w:t>)</w:t>
      </w:r>
      <w:r w:rsidR="00F65A15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  <w:r w:rsidR="00285237" w:rsidRPr="00A41160">
        <w:rPr>
          <w:rFonts w:ascii="Times New Roman" w:eastAsia="Calibri" w:hAnsi="Times New Roman" w:cs="Times New Roman"/>
          <w:b/>
          <w:sz w:val="24"/>
          <w:szCs w:val="24"/>
        </w:rPr>
        <w:t xml:space="preserve">и </w:t>
      </w:r>
      <w:r w:rsidR="00FF7486" w:rsidRPr="00A41160">
        <w:rPr>
          <w:rFonts w:ascii="Times New Roman" w:eastAsia="Calibri" w:hAnsi="Times New Roman" w:cs="Times New Roman"/>
          <w:b/>
          <w:sz w:val="24"/>
          <w:szCs w:val="24"/>
        </w:rPr>
        <w:t xml:space="preserve"> необработен дървен материал</w:t>
      </w:r>
      <w:r w:rsidR="00F65A1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F65A15" w:rsidRPr="00F062FE">
        <w:rPr>
          <w:rFonts w:ascii="Times New Roman" w:eastAsia="Calibri" w:hAnsi="Times New Roman" w:cs="Times New Roman"/>
          <w:b/>
          <w:sz w:val="24"/>
          <w:szCs w:val="24"/>
          <w:lang w:val="en-US"/>
        </w:rPr>
        <w:t>(</w:t>
      </w:r>
      <w:r w:rsidR="00F65A15" w:rsidRPr="00F062FE">
        <w:rPr>
          <w:rFonts w:ascii="Times New Roman" w:eastAsia="Calibri" w:hAnsi="Times New Roman" w:cs="Times New Roman"/>
          <w:b/>
          <w:sz w:val="24"/>
          <w:szCs w:val="24"/>
        </w:rPr>
        <w:t>код 4403</w:t>
      </w:r>
      <w:r w:rsidR="00F65A15" w:rsidRPr="00F062FE">
        <w:rPr>
          <w:rFonts w:ascii="Times New Roman" w:eastAsia="Calibri" w:hAnsi="Times New Roman" w:cs="Times New Roman"/>
          <w:b/>
          <w:sz w:val="24"/>
          <w:szCs w:val="24"/>
          <w:lang w:val="en-US"/>
        </w:rPr>
        <w:t>)</w:t>
      </w:r>
      <w:r w:rsidR="00F65A15" w:rsidRPr="00F062FE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FF7486" w:rsidRPr="00A41160">
        <w:rPr>
          <w:rFonts w:ascii="Times New Roman" w:eastAsia="Calibri" w:hAnsi="Times New Roman" w:cs="Times New Roman"/>
          <w:b/>
          <w:sz w:val="24"/>
          <w:szCs w:val="24"/>
        </w:rPr>
        <w:t>и общо</w:t>
      </w:r>
      <w:r w:rsidR="006B47FF" w:rsidRPr="00A41160">
        <w:rPr>
          <w:rFonts w:ascii="Times New Roman" w:eastAsia="Calibri" w:hAnsi="Times New Roman" w:cs="Times New Roman"/>
          <w:b/>
          <w:sz w:val="24"/>
          <w:szCs w:val="24"/>
        </w:rPr>
        <w:t>то</w:t>
      </w:r>
      <w:r w:rsidR="00FF7486" w:rsidRPr="00A41160">
        <w:rPr>
          <w:rFonts w:ascii="Times New Roman" w:eastAsia="Calibri" w:hAnsi="Times New Roman" w:cs="Times New Roman"/>
          <w:b/>
          <w:sz w:val="24"/>
          <w:szCs w:val="24"/>
        </w:rPr>
        <w:t xml:space="preserve"> количеството по двата кода</w:t>
      </w:r>
      <w:r w:rsidRPr="00A41160">
        <w:rPr>
          <w:rFonts w:ascii="Times New Roman" w:eastAsia="Calibri" w:hAnsi="Times New Roman" w:cs="Times New Roman"/>
          <w:b/>
          <w:sz w:val="24"/>
          <w:szCs w:val="24"/>
        </w:rPr>
        <w:t>, като н</w:t>
      </w:r>
      <w:r w:rsidR="00FF7486" w:rsidRPr="00A41160">
        <w:rPr>
          <w:rFonts w:ascii="Times New Roman" w:eastAsia="Calibri" w:hAnsi="Times New Roman" w:cs="Times New Roman"/>
          <w:b/>
          <w:sz w:val="24"/>
          <w:szCs w:val="24"/>
        </w:rPr>
        <w:t>ай-голямо увеличение е отчетено при дървата за горене.</w:t>
      </w:r>
      <w:r w:rsidR="00F65A15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</w:p>
    <w:p w:rsidR="00FF7486" w:rsidRPr="00A41160" w:rsidRDefault="00EB584B" w:rsidP="008A41C8">
      <w:pPr>
        <w:tabs>
          <w:tab w:val="left" w:pos="426"/>
        </w:tabs>
        <w:spacing w:line="302" w:lineRule="auto"/>
        <w:ind w:left="0" w:right="-2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A41160">
        <w:rPr>
          <w:rFonts w:ascii="Times New Roman" w:eastAsia="Calibri" w:hAnsi="Times New Roman" w:cs="Times New Roman"/>
          <w:color w:val="FF0000"/>
          <w:sz w:val="24"/>
          <w:szCs w:val="24"/>
        </w:rPr>
        <w:tab/>
      </w:r>
      <w:r w:rsidRPr="00A41160">
        <w:rPr>
          <w:rFonts w:ascii="Times New Roman" w:eastAsia="Calibri" w:hAnsi="Times New Roman" w:cs="Times New Roman"/>
          <w:color w:val="FF0000"/>
          <w:sz w:val="24"/>
          <w:szCs w:val="24"/>
        </w:rPr>
        <w:tab/>
      </w:r>
      <w:r w:rsidR="006B47FF" w:rsidRPr="00A411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</w:t>
      </w:r>
      <w:r w:rsidR="00546B85" w:rsidRPr="00A411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тази връзка </w:t>
      </w:r>
      <w:r w:rsidR="00AF47E2" w:rsidRPr="00A411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министърът</w:t>
      </w:r>
      <w:r w:rsidR="00546B85" w:rsidRPr="00A411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на земеделието, храните и горите със </w:t>
      </w:r>
      <w:r w:rsidR="00121899" w:rsidRPr="00A411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з</w:t>
      </w:r>
      <w:r w:rsidR="00546B85" w:rsidRPr="00A411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аповед</w:t>
      </w:r>
      <w:r w:rsidR="00BE5DCE" w:rsidRPr="00A411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от м.</w:t>
      </w:r>
      <w:r w:rsidR="006B47FF" w:rsidRPr="00A411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март </w:t>
      </w:r>
      <w:r w:rsidR="00BE5DCE" w:rsidRPr="00A411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2015 г.</w:t>
      </w:r>
      <w:r w:rsidR="00546B85" w:rsidRPr="00A411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забранява за срок от три месеца </w:t>
      </w:r>
      <w:r w:rsidR="00546B85" w:rsidRPr="00FC203E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износа</w:t>
      </w:r>
      <w:r w:rsidR="00546B85" w:rsidRPr="00A411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на </w:t>
      </w:r>
      <w:r w:rsidR="00BE5DCE" w:rsidRPr="00A411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дървени материали</w:t>
      </w:r>
      <w:r w:rsidR="00546B85" w:rsidRPr="00A411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с </w:t>
      </w:r>
      <w:r w:rsidR="00BE5DCE" w:rsidRPr="00A411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определени </w:t>
      </w:r>
      <w:r w:rsidR="00546B85" w:rsidRPr="00A411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кодове </w:t>
      </w:r>
      <w:r w:rsidR="00AF47E2" w:rsidRPr="00A411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от</w:t>
      </w:r>
      <w:r w:rsidR="00546B85" w:rsidRPr="00A411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КН на ЕС</w:t>
      </w:r>
      <w:r w:rsidR="007B50D3" w:rsidRPr="00A411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, като през</w:t>
      </w:r>
      <w:r w:rsidR="00BE5DCE" w:rsidRPr="00A411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м.</w:t>
      </w:r>
      <w:r w:rsidR="006B47FF" w:rsidRPr="00A411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юни </w:t>
      </w:r>
      <w:r w:rsidR="00340CC0" w:rsidRPr="00A411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забраната е удължена. </w:t>
      </w:r>
      <w:r w:rsidR="006B47FF" w:rsidRPr="00A411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Тъй като тази за</w:t>
      </w:r>
      <w:r w:rsidR="00546B85" w:rsidRPr="00A411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брана е </w:t>
      </w:r>
      <w:r w:rsidR="00340CC0" w:rsidRPr="00A411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</w:t>
      </w:r>
      <w:r w:rsidR="00546B85" w:rsidRPr="00A411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нарушение на принципите на Договора за функциониране на Европейския съюз за свободно движение на стоки в рамките на съюза, както и на редица двустранни споразумения с трети страни за свобо</w:t>
      </w:r>
      <w:r w:rsidR="006B47FF" w:rsidRPr="00A411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дна търговия, </w:t>
      </w:r>
      <w:r w:rsidR="00F07DB2" w:rsidRPr="00A411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същата фактически  е отменена</w:t>
      </w:r>
      <w:r w:rsidR="00FC203E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="00F07DB2" w:rsidRPr="00A41160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с приемането на </w:t>
      </w:r>
      <w:r w:rsidR="00FC203E" w:rsidRPr="00F062FE">
        <w:rPr>
          <w:rFonts w:ascii="Times New Roman" w:eastAsia="Calibri" w:hAnsi="Times New Roman" w:cs="Times New Roman"/>
          <w:sz w:val="24"/>
          <w:szCs w:val="24"/>
        </w:rPr>
        <w:t>Закона за изменение и допълнение на Закона за горите, като същия е  обнародван в Държавен вестник, бр. 60 от 7 август 2015 г.</w:t>
      </w:r>
    </w:p>
    <w:p w:rsidR="00340CC0" w:rsidRPr="00A41160" w:rsidRDefault="00F07DB2" w:rsidP="00340CC0">
      <w:pPr>
        <w:spacing w:line="302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 </w:t>
      </w:r>
      <w:r w:rsidR="00BE5DCE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фиг. 1 е видно, че </w:t>
      </w:r>
      <w:r w:rsidR="00BE5DCE" w:rsidRPr="00A4116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</w:t>
      </w:r>
      <w:r w:rsidR="00FF7486" w:rsidRPr="00A4116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 периода</w:t>
      </w:r>
      <w:r w:rsidR="00AF47E2" w:rsidRPr="00A4116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от 201</w:t>
      </w:r>
      <w:r w:rsidR="0096008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4</w:t>
      </w:r>
      <w:r w:rsidR="00AF47E2" w:rsidRPr="00A4116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г. до </w:t>
      </w:r>
      <w:r w:rsidR="00FF7486" w:rsidRPr="00A4116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2023 г. </w:t>
      </w:r>
      <w:r w:rsidR="00FF7486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налице </w:t>
      </w:r>
      <w:r w:rsidR="00FF7486" w:rsidRPr="00A4116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намаляващ тренд</w:t>
      </w:r>
      <w:r w:rsidR="00FF7486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ко</w:t>
      </w:r>
      <w:r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>личествата на изнесените/</w:t>
      </w:r>
      <w:r w:rsidR="00FF7486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изпратените дървени материали </w:t>
      </w:r>
      <w:r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="00FF7486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</w:t>
      </w:r>
      <w:r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двата </w:t>
      </w:r>
      <w:r w:rsidR="00FF7486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>код</w:t>
      </w:r>
      <w:r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>а –</w:t>
      </w:r>
      <w:r w:rsidR="00FF7486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4401</w:t>
      </w:r>
      <w:r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</w:t>
      </w:r>
      <w:r w:rsidR="00FF7486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4403. </w:t>
      </w:r>
    </w:p>
    <w:p w:rsidR="00FF7486" w:rsidRPr="00A41160" w:rsidRDefault="00A45180" w:rsidP="00340CC0">
      <w:pPr>
        <w:spacing w:line="302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FF7486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ай-драстично е намалението </w:t>
      </w:r>
      <w:r w:rsidR="00F07DB2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>при необработените дървени материали</w:t>
      </w:r>
      <w:r w:rsidR="00F65A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="00F65A15" w:rsidRPr="00711DBE">
        <w:rPr>
          <w:rFonts w:ascii="Times New Roman" w:eastAsia="Calibri" w:hAnsi="Times New Roman" w:cs="Times New Roman"/>
          <w:i/>
          <w:sz w:val="24"/>
          <w:szCs w:val="24"/>
        </w:rPr>
        <w:t>код 4403</w:t>
      </w:r>
      <w:r w:rsidR="00FF7486" w:rsidRPr="00A41160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,</w:t>
      </w:r>
      <w:r w:rsidR="00CB23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като още през 2015 г. </w:t>
      </w:r>
      <w:r w:rsidR="00F07DB2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тяхното </w:t>
      </w:r>
      <w:r w:rsidR="00AF47E2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>количеств</w:t>
      </w:r>
      <w:r w:rsidR="00F07DB2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FF7486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намалява </w:t>
      </w:r>
      <w:r w:rsidR="0013149A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>близо</w:t>
      </w:r>
      <w:r w:rsidR="00FF7486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2,</w:t>
      </w:r>
      <w:r w:rsidR="0013149A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FF7486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пъти спрямо отчетените пикове през 2014 г. Всяка следваща година изнесеното количество необработен дървен материал намалява</w:t>
      </w:r>
      <w:r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като </w:t>
      </w:r>
      <w:r w:rsidR="007B50D3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през 2023 г. </w:t>
      </w:r>
      <w:r w:rsidR="00AF47E2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>намалението</w:t>
      </w:r>
      <w:r w:rsidR="0013149A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</w:t>
      </w:r>
      <w:r w:rsidR="00AF47E2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3149A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над 482 хил. тона, или </w:t>
      </w:r>
      <w:r w:rsidR="0099011B">
        <w:rPr>
          <w:rFonts w:ascii="Times New Roman" w:eastAsia="Times New Roman" w:hAnsi="Times New Roman" w:cs="Times New Roman"/>
          <w:color w:val="000000"/>
          <w:sz w:val="24"/>
          <w:szCs w:val="24"/>
        </w:rPr>
        <w:t>близо 44 пъти</w:t>
      </w:r>
      <w:r w:rsidR="0013149A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спрямо 2014 г.</w:t>
      </w:r>
    </w:p>
    <w:p w:rsidR="00FF7486" w:rsidRPr="00A41160" w:rsidRDefault="00A45180" w:rsidP="00FF7486">
      <w:pPr>
        <w:spacing w:line="302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="00FF7486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дърва</w:t>
      </w:r>
      <w:r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="00FF7486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 горене</w:t>
      </w:r>
      <w:r w:rsidR="00CB234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="00CB23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 </w:t>
      </w:r>
      <w:r w:rsidR="00CB2344" w:rsidRPr="00CB2344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код 4401</w:t>
      </w:r>
      <w:r w:rsidR="00CB234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FF7486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>се констатира по-плавно намаляване на изнесените количества</w:t>
      </w:r>
      <w:r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>, като</w:t>
      </w:r>
      <w:r w:rsidR="00FF7486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през 2023 г. намал</w:t>
      </w:r>
      <w:r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ението спрямо 2014 г.  </w:t>
      </w:r>
      <w:r w:rsidR="00AF47E2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="0013149A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>близо</w:t>
      </w:r>
      <w:r w:rsidR="0099011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4,8 пъти</w:t>
      </w:r>
      <w:r w:rsidR="00AF47E2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15AAA" w:rsidRPr="00A41160" w:rsidRDefault="00FF7486" w:rsidP="00715AAA">
      <w:pPr>
        <w:spacing w:line="302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Изнесените количества дървени материали </w:t>
      </w:r>
      <w:r w:rsidR="00A45180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общо </w:t>
      </w:r>
      <w:r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>по двата кода</w:t>
      </w:r>
      <w:r w:rsidR="00340CC0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през 2023 г. намаляват с </w:t>
      </w:r>
      <w:r w:rsidR="0096008A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="0099011B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96008A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="0099011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пъти</w:t>
      </w:r>
      <w:r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спрямо 2014 г. </w:t>
      </w:r>
    </w:p>
    <w:p w:rsidR="00A41160" w:rsidRPr="00A41160" w:rsidRDefault="00A41160" w:rsidP="00715AAA">
      <w:pPr>
        <w:spacing w:line="302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EA7B3F" w:rsidRPr="00A41160" w:rsidRDefault="00BB2F04" w:rsidP="00BB2F04">
      <w:pPr>
        <w:tabs>
          <w:tab w:val="left" w:pos="567"/>
        </w:tabs>
        <w:spacing w:line="302" w:lineRule="auto"/>
        <w:ind w:left="0" w:firstLine="567"/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</w:pPr>
      <w:r w:rsidRPr="00A41160">
        <w:rPr>
          <w:rFonts w:ascii="Times New Roman" w:hAnsi="Times New Roman" w:cs="Times New Roman"/>
          <w:b/>
          <w:bCs/>
          <w:i/>
          <w:sz w:val="24"/>
          <w:szCs w:val="24"/>
        </w:rPr>
        <w:t>Внос</w:t>
      </w:r>
      <w:r w:rsidR="00A41160" w:rsidRPr="00A41160">
        <w:rPr>
          <w:rFonts w:ascii="Times New Roman" w:hAnsi="Times New Roman" w:cs="Times New Roman"/>
          <w:b/>
          <w:bCs/>
          <w:i/>
          <w:sz w:val="24"/>
          <w:szCs w:val="24"/>
        </w:rPr>
        <w:t>/</w:t>
      </w:r>
      <w:r w:rsidRPr="00A4116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пристигане </w:t>
      </w:r>
      <w:r w:rsidRPr="00A41160"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  <w:t>на дърва за горене</w:t>
      </w:r>
      <w:r w:rsidR="00A41160" w:rsidRPr="00A41160"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  <w:t xml:space="preserve"> и</w:t>
      </w:r>
      <w:r w:rsidRPr="00A41160"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  <w:t xml:space="preserve"> необработен дървен материал </w:t>
      </w:r>
      <w:r w:rsidRPr="00A41160">
        <w:rPr>
          <w:rFonts w:ascii="Times New Roman" w:hAnsi="Times New Roman" w:cs="Times New Roman"/>
          <w:b/>
          <w:bCs/>
          <w:i/>
          <w:sz w:val="24"/>
          <w:szCs w:val="24"/>
        </w:rPr>
        <w:t>по години за периода от 2008 г. до 2023 г.</w:t>
      </w:r>
    </w:p>
    <w:p w:rsidR="00425F9F" w:rsidRPr="00A41160" w:rsidRDefault="00425F9F" w:rsidP="00425F9F">
      <w:pPr>
        <w:spacing w:line="302" w:lineRule="auto"/>
        <w:ind w:left="0" w:right="-1"/>
        <w:rPr>
          <w:rFonts w:ascii="Times New Roman" w:hAnsi="Times New Roman" w:cs="Times New Roman"/>
          <w:sz w:val="24"/>
          <w:szCs w:val="24"/>
        </w:rPr>
      </w:pPr>
      <w:r w:rsidRPr="00F062FE">
        <w:rPr>
          <w:rFonts w:ascii="Times New Roman" w:hAnsi="Times New Roman" w:cs="Times New Roman"/>
          <w:noProof/>
          <w:lang w:eastAsia="bg-BG"/>
        </w:rPr>
        <w:drawing>
          <wp:inline distT="0" distB="0" distL="0" distR="0" wp14:anchorId="371690A3" wp14:editId="5550D21E">
            <wp:extent cx="7000875" cy="2289976"/>
            <wp:effectExtent l="0" t="0" r="9525" b="1524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9571CF" w:rsidRDefault="009571CF" w:rsidP="00FF7486">
      <w:pPr>
        <w:ind w:left="0" w:firstLine="709"/>
        <w:rPr>
          <w:rFonts w:ascii="Times New Roman" w:hAnsi="Times New Roman" w:cs="Times New Roman"/>
          <w:b/>
          <w:i/>
          <w:sz w:val="20"/>
          <w:szCs w:val="20"/>
        </w:rPr>
      </w:pPr>
    </w:p>
    <w:p w:rsidR="00FF7486" w:rsidRPr="00A41160" w:rsidRDefault="00FF7486" w:rsidP="00FF7486">
      <w:pPr>
        <w:ind w:left="0" w:firstLine="709"/>
        <w:rPr>
          <w:rFonts w:ascii="Times New Roman" w:hAnsi="Times New Roman" w:cs="Times New Roman"/>
          <w:b/>
          <w:bCs/>
          <w:i/>
          <w:sz w:val="20"/>
          <w:szCs w:val="20"/>
        </w:rPr>
      </w:pPr>
      <w:r w:rsidRPr="00A41160">
        <w:rPr>
          <w:rFonts w:ascii="Times New Roman" w:hAnsi="Times New Roman" w:cs="Times New Roman"/>
          <w:b/>
          <w:i/>
          <w:sz w:val="20"/>
          <w:szCs w:val="20"/>
        </w:rPr>
        <w:t xml:space="preserve">Фиг. 2.  </w:t>
      </w:r>
      <w:r w:rsidR="00DA7CF6">
        <w:rPr>
          <w:rFonts w:ascii="Times New Roman" w:hAnsi="Times New Roman" w:cs="Times New Roman"/>
          <w:b/>
          <w:bCs/>
          <w:i/>
          <w:sz w:val="20"/>
          <w:szCs w:val="20"/>
        </w:rPr>
        <w:t>Динамика на вноса/</w:t>
      </w:r>
      <w:r w:rsidRPr="00A41160">
        <w:rPr>
          <w:rFonts w:ascii="Times New Roman" w:hAnsi="Times New Roman" w:cs="Times New Roman"/>
          <w:b/>
          <w:bCs/>
          <w:i/>
          <w:sz w:val="20"/>
          <w:szCs w:val="20"/>
        </w:rPr>
        <w:t>пристигането</w:t>
      </w:r>
      <w:r w:rsidR="00FF5F6D" w:rsidRPr="00A41160">
        <w:rPr>
          <w:rFonts w:ascii="Times New Roman" w:hAnsi="Times New Roman" w:cs="Times New Roman"/>
          <w:b/>
          <w:bCs/>
          <w:i/>
          <w:sz w:val="20"/>
          <w:szCs w:val="20"/>
        </w:rPr>
        <w:t xml:space="preserve"> </w:t>
      </w:r>
      <w:r w:rsidRPr="00A41160">
        <w:rPr>
          <w:rFonts w:ascii="Times New Roman" w:hAnsi="Times New Roman" w:cs="Times New Roman"/>
          <w:b/>
          <w:bCs/>
          <w:i/>
          <w:sz w:val="20"/>
          <w:szCs w:val="20"/>
        </w:rPr>
        <w:t>на дървени материали по код 4401, код 4403 и общо за двата  кода  (код 4401 + код 4403) в тон по години за периода от 2008 г. до 2023 г. вкл.</w:t>
      </w:r>
    </w:p>
    <w:p w:rsidR="00CB2344" w:rsidRDefault="00CB2344" w:rsidP="00FF7486">
      <w:pPr>
        <w:spacing w:line="302" w:lineRule="auto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FF7486" w:rsidRDefault="00FF7486" w:rsidP="00FF7486">
      <w:pPr>
        <w:spacing w:line="302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A41160">
        <w:rPr>
          <w:rFonts w:ascii="Times New Roman" w:hAnsi="Times New Roman" w:cs="Times New Roman"/>
          <w:sz w:val="24"/>
          <w:szCs w:val="24"/>
        </w:rPr>
        <w:t xml:space="preserve">От фиг. </w:t>
      </w:r>
      <w:r w:rsidR="001F3194">
        <w:rPr>
          <w:rFonts w:ascii="Times New Roman" w:hAnsi="Times New Roman" w:cs="Times New Roman"/>
          <w:sz w:val="24"/>
          <w:szCs w:val="24"/>
          <w:lang w:val="en-US"/>
        </w:rPr>
        <w:t xml:space="preserve">2 </w:t>
      </w:r>
      <w:r w:rsidRPr="00A41160">
        <w:rPr>
          <w:rFonts w:ascii="Times New Roman" w:hAnsi="Times New Roman" w:cs="Times New Roman"/>
          <w:sz w:val="24"/>
          <w:szCs w:val="24"/>
        </w:rPr>
        <w:t>е видно</w:t>
      </w:r>
      <w:r w:rsidR="004735A1" w:rsidRPr="00A41160">
        <w:rPr>
          <w:rFonts w:ascii="Times New Roman" w:hAnsi="Times New Roman" w:cs="Times New Roman"/>
          <w:sz w:val="24"/>
          <w:szCs w:val="24"/>
        </w:rPr>
        <w:t>, че</w:t>
      </w:r>
      <w:r w:rsidRPr="00A41160">
        <w:rPr>
          <w:rFonts w:ascii="Times New Roman" w:hAnsi="Times New Roman" w:cs="Times New Roman"/>
          <w:sz w:val="24"/>
          <w:szCs w:val="24"/>
        </w:rPr>
        <w:t>:</w:t>
      </w:r>
    </w:p>
    <w:p w:rsidR="001F3194" w:rsidRPr="00A41160" w:rsidRDefault="001F3194" w:rsidP="00FF7486">
      <w:pPr>
        <w:spacing w:line="302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A411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Проследявайки динамиката на </w:t>
      </w:r>
      <w:r w:rsidRPr="00A41160">
        <w:rPr>
          <w:rFonts w:ascii="Times New Roman" w:hAnsi="Times New Roman" w:cs="Times New Roman"/>
          <w:sz w:val="24"/>
          <w:szCs w:val="24"/>
        </w:rPr>
        <w:t xml:space="preserve">внесените/пристигналите </w:t>
      </w:r>
      <w:r w:rsidRPr="00A411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количества дървени материали по двата кода: </w:t>
      </w:r>
      <w:r w:rsidRPr="00A4116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код 4401</w:t>
      </w:r>
      <w:r w:rsidRPr="00A411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и </w:t>
      </w:r>
      <w:r w:rsidRPr="00A41160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код 4403</w:t>
      </w:r>
      <w:r w:rsidRPr="00A411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и общо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се констатира следното:</w:t>
      </w:r>
      <w:r w:rsidRPr="00A411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</w:r>
    </w:p>
    <w:p w:rsidR="00FF7486" w:rsidRPr="00A41160" w:rsidRDefault="001F3194" w:rsidP="00FF7486">
      <w:pPr>
        <w:spacing w:line="302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</w:t>
      </w:r>
      <w:r w:rsidR="00FF7486" w:rsidRPr="00A41160">
        <w:rPr>
          <w:rFonts w:ascii="Times New Roman" w:hAnsi="Times New Roman" w:cs="Times New Roman"/>
          <w:sz w:val="24"/>
          <w:szCs w:val="24"/>
        </w:rPr>
        <w:t xml:space="preserve">. </w:t>
      </w:r>
      <w:r w:rsidR="00835411">
        <w:rPr>
          <w:rFonts w:ascii="Times New Roman" w:hAnsi="Times New Roman" w:cs="Times New Roman"/>
          <w:sz w:val="24"/>
          <w:szCs w:val="24"/>
        </w:rPr>
        <w:t>З</w:t>
      </w:r>
      <w:r w:rsidR="00835411" w:rsidRPr="00A411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 периода от 2008 г. до</w:t>
      </w:r>
      <w:r w:rsidR="0083541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2018 г. </w:t>
      </w:r>
      <w:r w:rsidR="00073B32" w:rsidRPr="00F062FE">
        <w:rPr>
          <w:rFonts w:ascii="Times New Roman" w:hAnsi="Times New Roman" w:cs="Times New Roman"/>
          <w:sz w:val="24"/>
          <w:szCs w:val="24"/>
        </w:rPr>
        <w:t>няма ясно изразена тенденция на внесените</w:t>
      </w:r>
      <w:r w:rsidR="00073B32">
        <w:rPr>
          <w:rFonts w:ascii="Times New Roman" w:hAnsi="Times New Roman" w:cs="Times New Roman"/>
          <w:sz w:val="24"/>
          <w:szCs w:val="24"/>
        </w:rPr>
        <w:t>/</w:t>
      </w:r>
      <w:r w:rsidR="00073B32" w:rsidRPr="00F062FE">
        <w:rPr>
          <w:rFonts w:ascii="Times New Roman" w:hAnsi="Times New Roman" w:cs="Times New Roman"/>
          <w:sz w:val="24"/>
          <w:szCs w:val="24"/>
        </w:rPr>
        <w:t>прис</w:t>
      </w:r>
      <w:r w:rsidR="00073B32">
        <w:rPr>
          <w:rFonts w:ascii="Times New Roman" w:hAnsi="Times New Roman" w:cs="Times New Roman"/>
          <w:sz w:val="24"/>
          <w:szCs w:val="24"/>
        </w:rPr>
        <w:t>тигналите</w:t>
      </w:r>
      <w:r w:rsidR="00073B3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73B32" w:rsidRPr="00F062FE">
        <w:rPr>
          <w:rFonts w:ascii="Times New Roman" w:hAnsi="Times New Roman" w:cs="Times New Roman"/>
          <w:sz w:val="24"/>
          <w:szCs w:val="24"/>
        </w:rPr>
        <w:t>количества д</w:t>
      </w:r>
      <w:r w:rsidR="00073B32">
        <w:rPr>
          <w:rFonts w:ascii="Times New Roman" w:hAnsi="Times New Roman" w:cs="Times New Roman"/>
          <w:sz w:val="24"/>
          <w:szCs w:val="24"/>
        </w:rPr>
        <w:t xml:space="preserve">ървени материали 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="00FF5F6D" w:rsidRPr="00A41160">
        <w:rPr>
          <w:rFonts w:ascii="Times New Roman" w:hAnsi="Times New Roman" w:cs="Times New Roman"/>
          <w:sz w:val="24"/>
          <w:szCs w:val="24"/>
        </w:rPr>
        <w:t xml:space="preserve">варират от 32 539 тона </w:t>
      </w:r>
      <w:r w:rsidR="00A41160">
        <w:rPr>
          <w:rFonts w:ascii="Times New Roman" w:hAnsi="Times New Roman" w:cs="Times New Roman"/>
          <w:sz w:val="24"/>
          <w:szCs w:val="24"/>
        </w:rPr>
        <w:t>за</w:t>
      </w:r>
      <w:r w:rsidR="00FF7486" w:rsidRPr="00A41160">
        <w:rPr>
          <w:rFonts w:ascii="Times New Roman" w:hAnsi="Times New Roman" w:cs="Times New Roman"/>
          <w:sz w:val="24"/>
          <w:szCs w:val="24"/>
        </w:rPr>
        <w:t xml:space="preserve"> 2010 г.</w:t>
      </w:r>
      <w:r w:rsidR="00FF5F6D" w:rsidRPr="00A41160">
        <w:rPr>
          <w:rFonts w:ascii="Times New Roman" w:hAnsi="Times New Roman" w:cs="Times New Roman"/>
          <w:sz w:val="24"/>
          <w:szCs w:val="24"/>
        </w:rPr>
        <w:t xml:space="preserve"> до 74 182 тона </w:t>
      </w:r>
      <w:r w:rsidR="00A41160">
        <w:rPr>
          <w:rFonts w:ascii="Times New Roman" w:hAnsi="Times New Roman" w:cs="Times New Roman"/>
          <w:sz w:val="24"/>
          <w:szCs w:val="24"/>
        </w:rPr>
        <w:t>за 2012 г</w:t>
      </w:r>
      <w:r w:rsidR="00FF5F6D" w:rsidRPr="00A41160">
        <w:rPr>
          <w:rFonts w:ascii="Times New Roman" w:hAnsi="Times New Roman" w:cs="Times New Roman"/>
          <w:sz w:val="24"/>
          <w:szCs w:val="24"/>
        </w:rPr>
        <w:t>.</w:t>
      </w:r>
      <w:r w:rsidR="00FF7486" w:rsidRPr="00A41160">
        <w:rPr>
          <w:rFonts w:ascii="Times New Roman" w:hAnsi="Times New Roman" w:cs="Times New Roman"/>
          <w:sz w:val="24"/>
          <w:szCs w:val="24"/>
        </w:rPr>
        <w:t xml:space="preserve"> </w:t>
      </w:r>
      <w:r w:rsidR="009B48ED">
        <w:rPr>
          <w:rFonts w:ascii="Times New Roman" w:hAnsi="Times New Roman" w:cs="Times New Roman"/>
          <w:sz w:val="24"/>
          <w:szCs w:val="24"/>
        </w:rPr>
        <w:t>или с</w:t>
      </w:r>
      <w:r w:rsidR="00FF7486" w:rsidRPr="00A41160">
        <w:rPr>
          <w:rFonts w:ascii="Times New Roman" w:hAnsi="Times New Roman" w:cs="Times New Roman"/>
          <w:sz w:val="24"/>
          <w:szCs w:val="24"/>
        </w:rPr>
        <w:t>редногодишно</w:t>
      </w:r>
      <w:r w:rsidR="00CB2344">
        <w:rPr>
          <w:rFonts w:ascii="Times New Roman" w:hAnsi="Times New Roman" w:cs="Times New Roman"/>
          <w:sz w:val="24"/>
          <w:szCs w:val="24"/>
        </w:rPr>
        <w:t>то</w:t>
      </w:r>
      <w:r w:rsidR="009B48ED">
        <w:rPr>
          <w:rFonts w:ascii="Times New Roman" w:hAnsi="Times New Roman" w:cs="Times New Roman"/>
          <w:sz w:val="24"/>
          <w:szCs w:val="24"/>
        </w:rPr>
        <w:t xml:space="preserve"> </w:t>
      </w:r>
      <w:r w:rsidR="00FF7486" w:rsidRPr="00A41160">
        <w:rPr>
          <w:rFonts w:ascii="Times New Roman" w:hAnsi="Times New Roman" w:cs="Times New Roman"/>
          <w:sz w:val="24"/>
          <w:szCs w:val="24"/>
        </w:rPr>
        <w:t xml:space="preserve">за този период </w:t>
      </w:r>
      <w:r w:rsidR="00CB2344">
        <w:rPr>
          <w:rFonts w:ascii="Times New Roman" w:hAnsi="Times New Roman" w:cs="Times New Roman"/>
          <w:sz w:val="24"/>
          <w:szCs w:val="24"/>
        </w:rPr>
        <w:t xml:space="preserve">е </w:t>
      </w:r>
      <w:r w:rsidR="00FF7486" w:rsidRPr="00A41160">
        <w:rPr>
          <w:rFonts w:ascii="Times New Roman" w:hAnsi="Times New Roman" w:cs="Times New Roman"/>
          <w:sz w:val="24"/>
          <w:szCs w:val="24"/>
        </w:rPr>
        <w:t>малко на</w:t>
      </w:r>
      <w:r w:rsidR="00F85151" w:rsidRPr="00A41160">
        <w:rPr>
          <w:rFonts w:ascii="Times New Roman" w:hAnsi="Times New Roman" w:cs="Times New Roman"/>
          <w:sz w:val="24"/>
          <w:szCs w:val="24"/>
        </w:rPr>
        <w:t>д 61</w:t>
      </w:r>
      <w:r w:rsidR="00CB2344">
        <w:rPr>
          <w:rFonts w:ascii="Times New Roman" w:hAnsi="Times New Roman" w:cs="Times New Roman"/>
          <w:sz w:val="24"/>
          <w:szCs w:val="24"/>
        </w:rPr>
        <w:t xml:space="preserve"> </w:t>
      </w:r>
      <w:r w:rsidR="00FF7486" w:rsidRPr="00A41160">
        <w:rPr>
          <w:rFonts w:ascii="Times New Roman" w:hAnsi="Times New Roman" w:cs="Times New Roman"/>
          <w:sz w:val="24"/>
          <w:szCs w:val="24"/>
        </w:rPr>
        <w:t>хил. тона</w:t>
      </w:r>
      <w:r w:rsidR="009B48E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10D2F" w:rsidRPr="00A41160" w:rsidRDefault="001F3194" w:rsidP="00110D2F">
      <w:pPr>
        <w:spacing w:line="302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2. Сравнявайки</w:t>
      </w:r>
      <w:r w:rsidR="00CF4367" w:rsidRPr="00A41160">
        <w:rPr>
          <w:rFonts w:ascii="Times New Roman" w:hAnsi="Times New Roman" w:cs="Times New Roman"/>
          <w:sz w:val="24"/>
          <w:szCs w:val="24"/>
        </w:rPr>
        <w:t xml:space="preserve"> количествата внесени</w:t>
      </w:r>
      <w:r w:rsidR="00CB2344">
        <w:rPr>
          <w:rFonts w:ascii="Times New Roman" w:hAnsi="Times New Roman" w:cs="Times New Roman"/>
          <w:sz w:val="24"/>
          <w:szCs w:val="24"/>
        </w:rPr>
        <w:t>/</w:t>
      </w:r>
      <w:r w:rsidR="00CF4367" w:rsidRPr="00A41160">
        <w:rPr>
          <w:rFonts w:ascii="Times New Roman" w:hAnsi="Times New Roman" w:cs="Times New Roman"/>
          <w:sz w:val="24"/>
          <w:szCs w:val="24"/>
        </w:rPr>
        <w:t xml:space="preserve">пристигнали дървени материали </w:t>
      </w:r>
      <w:r w:rsidR="009B48ED">
        <w:rPr>
          <w:rFonts w:ascii="Times New Roman" w:hAnsi="Times New Roman" w:cs="Times New Roman"/>
          <w:sz w:val="24"/>
          <w:szCs w:val="24"/>
        </w:rPr>
        <w:t>поотделно и общо за</w:t>
      </w:r>
      <w:r w:rsidR="00CF4367" w:rsidRPr="00A41160">
        <w:rPr>
          <w:rFonts w:ascii="Times New Roman" w:hAnsi="Times New Roman" w:cs="Times New Roman"/>
          <w:sz w:val="24"/>
          <w:szCs w:val="24"/>
        </w:rPr>
        <w:t xml:space="preserve"> двата кода з</w:t>
      </w:r>
      <w:r w:rsidR="00FF5F6D" w:rsidRPr="00A41160">
        <w:rPr>
          <w:rFonts w:ascii="Times New Roman" w:hAnsi="Times New Roman" w:cs="Times New Roman"/>
          <w:sz w:val="24"/>
          <w:szCs w:val="24"/>
        </w:rPr>
        <w:t xml:space="preserve">а периода от </w:t>
      </w:r>
      <w:r w:rsidR="00110D2F" w:rsidRPr="00A41160">
        <w:rPr>
          <w:rFonts w:ascii="Times New Roman" w:hAnsi="Times New Roman" w:cs="Times New Roman"/>
          <w:sz w:val="24"/>
          <w:szCs w:val="24"/>
        </w:rPr>
        <w:t xml:space="preserve">2018 г. </w:t>
      </w:r>
      <w:r w:rsidR="00FF5F6D" w:rsidRPr="00A41160">
        <w:rPr>
          <w:rFonts w:ascii="Times New Roman" w:hAnsi="Times New Roman" w:cs="Times New Roman"/>
          <w:sz w:val="24"/>
          <w:szCs w:val="24"/>
        </w:rPr>
        <w:t>до</w:t>
      </w:r>
      <w:r w:rsidR="00110D2F" w:rsidRPr="00A41160">
        <w:rPr>
          <w:rFonts w:ascii="Times New Roman" w:hAnsi="Times New Roman" w:cs="Times New Roman"/>
          <w:sz w:val="24"/>
          <w:szCs w:val="24"/>
        </w:rPr>
        <w:t xml:space="preserve"> 2022 г.</w:t>
      </w:r>
      <w:r w:rsidR="00CF4367" w:rsidRPr="00A41160">
        <w:rPr>
          <w:rFonts w:ascii="Times New Roman" w:hAnsi="Times New Roman" w:cs="Times New Roman"/>
          <w:sz w:val="24"/>
          <w:szCs w:val="24"/>
        </w:rPr>
        <w:t xml:space="preserve"> се констатира </w:t>
      </w:r>
      <w:r w:rsidR="00110D2F" w:rsidRPr="00A41160">
        <w:rPr>
          <w:rFonts w:ascii="Times New Roman" w:hAnsi="Times New Roman" w:cs="Times New Roman"/>
          <w:b/>
          <w:sz w:val="24"/>
          <w:szCs w:val="24"/>
        </w:rPr>
        <w:t>нарастваща тенденция</w:t>
      </w:r>
      <w:r w:rsidR="00CF4367" w:rsidRPr="00A41160">
        <w:rPr>
          <w:rFonts w:ascii="Times New Roman" w:hAnsi="Times New Roman" w:cs="Times New Roman"/>
          <w:sz w:val="24"/>
          <w:szCs w:val="24"/>
        </w:rPr>
        <w:t>. Внесените</w:t>
      </w:r>
      <w:r w:rsidR="00CB2344">
        <w:rPr>
          <w:rFonts w:ascii="Times New Roman" w:hAnsi="Times New Roman" w:cs="Times New Roman"/>
          <w:sz w:val="24"/>
          <w:szCs w:val="24"/>
        </w:rPr>
        <w:t>/</w:t>
      </w:r>
      <w:r w:rsidR="00CF4367" w:rsidRPr="00A41160">
        <w:rPr>
          <w:rFonts w:ascii="Times New Roman" w:hAnsi="Times New Roman" w:cs="Times New Roman"/>
          <w:sz w:val="24"/>
          <w:szCs w:val="24"/>
        </w:rPr>
        <w:t xml:space="preserve">пристигналите количества дървени материали през 2022 г. </w:t>
      </w:r>
      <w:r w:rsidR="009B48ED">
        <w:rPr>
          <w:rFonts w:ascii="Times New Roman" w:hAnsi="Times New Roman" w:cs="Times New Roman"/>
          <w:sz w:val="24"/>
          <w:szCs w:val="24"/>
        </w:rPr>
        <w:t>са близо</w:t>
      </w:r>
      <w:r w:rsidR="00CF4367" w:rsidRPr="00A41160">
        <w:rPr>
          <w:rFonts w:ascii="Times New Roman" w:hAnsi="Times New Roman" w:cs="Times New Roman"/>
          <w:sz w:val="24"/>
          <w:szCs w:val="24"/>
        </w:rPr>
        <w:t xml:space="preserve"> 3,7 пъти повече спрямо 2018 г.</w:t>
      </w:r>
    </w:p>
    <w:p w:rsidR="009B48ED" w:rsidRDefault="001F3194" w:rsidP="00FF7486">
      <w:pPr>
        <w:spacing w:line="302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</w:t>
      </w:r>
      <w:r w:rsidR="00FF7486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>През 2023 г. внос</w:t>
      </w:r>
      <w:r w:rsidR="009B48ED">
        <w:rPr>
          <w:rFonts w:ascii="Times New Roman" w:eastAsia="Times New Roman" w:hAnsi="Times New Roman" w:cs="Times New Roman"/>
          <w:color w:val="000000"/>
          <w:sz w:val="24"/>
          <w:szCs w:val="24"/>
        </w:rPr>
        <w:t>ът</w:t>
      </w:r>
      <w:r w:rsidR="00FF7486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дървени материали намалява спрямо 2022 г.</w:t>
      </w:r>
      <w:r w:rsidR="00CF4367" w:rsidRPr="00A41160">
        <w:rPr>
          <w:rFonts w:ascii="Times New Roman" w:eastAsia="Times New Roman" w:hAnsi="Times New Roman" w:cs="Times New Roman"/>
          <w:color w:val="000000"/>
          <w:sz w:val="24"/>
          <w:szCs w:val="24"/>
        </w:rPr>
        <w:t>, както следва:</w:t>
      </w:r>
    </w:p>
    <w:p w:rsidR="009B48ED" w:rsidRDefault="00FF7486" w:rsidP="009B48ED">
      <w:pPr>
        <w:pStyle w:val="ListParagraph"/>
        <w:numPr>
          <w:ilvl w:val="0"/>
          <w:numId w:val="6"/>
        </w:numPr>
        <w:spacing w:line="302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B48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общо по двата кода </w:t>
      </w:r>
      <w:r w:rsidR="00FF5F6D" w:rsidRPr="009B48ED">
        <w:rPr>
          <w:rFonts w:ascii="Times New Roman" w:hAnsi="Times New Roman" w:cs="Times New Roman"/>
          <w:sz w:val="24"/>
          <w:szCs w:val="24"/>
        </w:rPr>
        <w:t xml:space="preserve">количеството </w:t>
      </w:r>
      <w:r w:rsidRPr="009B48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намалява с над 101 хил. тона (45,12 %)</w:t>
      </w:r>
      <w:r w:rsidR="00CF4367" w:rsidRPr="009B48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</w:p>
    <w:p w:rsidR="009B48ED" w:rsidRDefault="00FF7486" w:rsidP="009B48ED">
      <w:pPr>
        <w:pStyle w:val="ListParagraph"/>
        <w:numPr>
          <w:ilvl w:val="0"/>
          <w:numId w:val="6"/>
        </w:numPr>
        <w:spacing w:line="302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B48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по </w:t>
      </w:r>
      <w:r w:rsidRPr="009B48ED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код 4401</w:t>
      </w:r>
      <w:r w:rsidRPr="009B48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6364AA" w:rsidRPr="009B48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намалението е</w:t>
      </w:r>
      <w:r w:rsidRPr="009B48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 над 85 хил. тона (50,01 %)</w:t>
      </w:r>
      <w:r w:rsidR="009B48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</w:p>
    <w:p w:rsidR="00FF7486" w:rsidRDefault="00FF7486" w:rsidP="009B48ED">
      <w:pPr>
        <w:pStyle w:val="ListParagraph"/>
        <w:numPr>
          <w:ilvl w:val="0"/>
          <w:numId w:val="6"/>
        </w:numPr>
        <w:spacing w:line="302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B48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по </w:t>
      </w:r>
      <w:r w:rsidRPr="009B48ED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код</w:t>
      </w:r>
      <w:r w:rsidRPr="009B48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9B48ED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4403</w:t>
      </w:r>
      <w:r w:rsidRPr="009B48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намал</w:t>
      </w:r>
      <w:r w:rsidR="006364AA" w:rsidRPr="009B48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ението е</w:t>
      </w:r>
      <w:r w:rsidRPr="009B48E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с над 16 хил. тона (29,65 %).</w:t>
      </w:r>
    </w:p>
    <w:p w:rsidR="001F3194" w:rsidRDefault="001F3194" w:rsidP="001F3194">
      <w:pPr>
        <w:tabs>
          <w:tab w:val="left" w:pos="567"/>
        </w:tabs>
        <w:spacing w:line="302" w:lineRule="auto"/>
        <w:ind w:left="0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ab/>
      </w:r>
    </w:p>
    <w:p w:rsidR="001F3194" w:rsidRDefault="001F3194" w:rsidP="001F3194">
      <w:pPr>
        <w:tabs>
          <w:tab w:val="left" w:pos="567"/>
        </w:tabs>
        <w:spacing w:line="302" w:lineRule="auto"/>
        <w:ind w:left="0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ab/>
        <w:t>Сравнение на количествата изнесени/изпратени с внесените</w:t>
      </w:r>
      <w:r w:rsidRPr="001F3194">
        <w:rPr>
          <w:rFonts w:ascii="Times New Roman" w:hAnsi="Times New Roman" w:cs="Times New Roman"/>
          <w:b/>
          <w:bCs/>
          <w:i/>
          <w:sz w:val="24"/>
          <w:szCs w:val="24"/>
        </w:rPr>
        <w:t>/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п</w:t>
      </w:r>
      <w:r w:rsidR="00822267">
        <w:rPr>
          <w:rFonts w:ascii="Times New Roman" w:hAnsi="Times New Roman" w:cs="Times New Roman"/>
          <w:b/>
          <w:bCs/>
          <w:i/>
          <w:sz w:val="24"/>
          <w:szCs w:val="24"/>
        </w:rPr>
        <w:t>ристигналите дървени материали</w:t>
      </w:r>
      <w:r w:rsidR="009C3BBB">
        <w:rPr>
          <w:rFonts w:ascii="Times New Roman" w:hAnsi="Times New Roman" w:cs="Times New Roman"/>
          <w:b/>
          <w:bCs/>
          <w:i/>
          <w:sz w:val="24"/>
          <w:szCs w:val="24"/>
        </w:rPr>
        <w:t>,</w:t>
      </w:r>
      <w:r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  <w:t xml:space="preserve"> </w:t>
      </w:r>
      <w:r w:rsidRPr="001F3194">
        <w:rPr>
          <w:rFonts w:ascii="Times New Roman" w:hAnsi="Times New Roman" w:cs="Times New Roman"/>
          <w:b/>
          <w:bCs/>
          <w:i/>
          <w:sz w:val="24"/>
          <w:szCs w:val="24"/>
        </w:rPr>
        <w:t>за периода от 2008 г. до 2023 г.</w:t>
      </w:r>
    </w:p>
    <w:p w:rsidR="009C3BBB" w:rsidRDefault="009C3BBB" w:rsidP="001F3194">
      <w:pPr>
        <w:tabs>
          <w:tab w:val="left" w:pos="567"/>
        </w:tabs>
        <w:spacing w:line="302" w:lineRule="auto"/>
        <w:ind w:left="0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9C3BBB" w:rsidRPr="00822267" w:rsidRDefault="009C3BBB" w:rsidP="00822267">
      <w:pPr>
        <w:spacing w:line="302" w:lineRule="auto"/>
        <w:ind w:right="-1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822267">
        <w:rPr>
          <w:rFonts w:ascii="Times New Roman" w:hAnsi="Times New Roman" w:cs="Times New Roman"/>
          <w:i/>
          <w:sz w:val="24"/>
          <w:szCs w:val="24"/>
        </w:rPr>
        <w:t xml:space="preserve">Сравнение внос/износ  по код </w:t>
      </w:r>
      <w:r w:rsidRPr="00822267">
        <w:rPr>
          <w:rFonts w:ascii="Times New Roman" w:hAnsi="Times New Roman" w:cs="Times New Roman"/>
          <w:i/>
          <w:sz w:val="24"/>
          <w:szCs w:val="24"/>
          <w:lang w:val="en-US"/>
        </w:rPr>
        <w:t>4403.</w:t>
      </w:r>
    </w:p>
    <w:p w:rsidR="009C3BBB" w:rsidRDefault="009C3BBB" w:rsidP="009C3BBB">
      <w:pPr>
        <w:spacing w:line="302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bg-BG"/>
        </w:rPr>
        <w:drawing>
          <wp:inline distT="0" distB="0" distL="0" distR="0" wp14:anchorId="7CCD7C08" wp14:editId="424EBFA1">
            <wp:extent cx="7019925" cy="2226365"/>
            <wp:effectExtent l="0" t="0" r="9525" b="2540"/>
            <wp:docPr id="7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9C3BBB" w:rsidRPr="00A41160" w:rsidRDefault="009C3BBB" w:rsidP="009C3BBB">
      <w:pPr>
        <w:ind w:left="0" w:firstLine="709"/>
        <w:rPr>
          <w:rFonts w:ascii="Times New Roman" w:hAnsi="Times New Roman" w:cs="Times New Roman"/>
          <w:b/>
          <w:bCs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t>Фиг. 3</w:t>
      </w:r>
      <w:r w:rsidRPr="00A41160">
        <w:rPr>
          <w:rFonts w:ascii="Times New Roman" w:hAnsi="Times New Roman" w:cs="Times New Roman"/>
          <w:b/>
          <w:i/>
          <w:sz w:val="20"/>
          <w:szCs w:val="20"/>
        </w:rPr>
        <w:t xml:space="preserve">.  </w:t>
      </w:r>
      <w:r>
        <w:rPr>
          <w:rFonts w:ascii="Times New Roman" w:hAnsi="Times New Roman" w:cs="Times New Roman"/>
          <w:b/>
          <w:i/>
          <w:sz w:val="20"/>
          <w:szCs w:val="20"/>
        </w:rPr>
        <w:t>Сравнение на количествата на</w:t>
      </w:r>
      <w:r>
        <w:rPr>
          <w:rFonts w:ascii="Times New Roman" w:hAnsi="Times New Roman" w:cs="Times New Roman"/>
          <w:b/>
          <w:bCs/>
          <w:i/>
          <w:sz w:val="20"/>
          <w:szCs w:val="20"/>
        </w:rPr>
        <w:t xml:space="preserve"> внесените/пристигналите с тези на изнесените/изпратените</w:t>
      </w:r>
      <w:r w:rsidRPr="00A41160">
        <w:rPr>
          <w:rFonts w:ascii="Times New Roman" w:hAnsi="Times New Roman" w:cs="Times New Roman"/>
          <w:b/>
          <w:bCs/>
          <w:i/>
          <w:sz w:val="20"/>
          <w:szCs w:val="20"/>
        </w:rPr>
        <w:t xml:space="preserve"> дървени материали </w:t>
      </w:r>
      <w:r>
        <w:rPr>
          <w:rFonts w:ascii="Times New Roman" w:hAnsi="Times New Roman" w:cs="Times New Roman"/>
          <w:b/>
          <w:bCs/>
          <w:i/>
          <w:sz w:val="20"/>
          <w:szCs w:val="20"/>
        </w:rPr>
        <w:t>общо по  код 4403</w:t>
      </w:r>
      <w:r w:rsidRPr="00A41160">
        <w:rPr>
          <w:rFonts w:ascii="Times New Roman" w:hAnsi="Times New Roman" w:cs="Times New Roman"/>
          <w:b/>
          <w:bCs/>
          <w:i/>
          <w:sz w:val="20"/>
          <w:szCs w:val="20"/>
        </w:rPr>
        <w:t xml:space="preserve"> в тон по години за периода от 2008 г. до 2023 г. вкл.</w:t>
      </w:r>
    </w:p>
    <w:p w:rsidR="009C3BBB" w:rsidRPr="0088699F" w:rsidRDefault="003032A3" w:rsidP="009C3BBB">
      <w:pPr>
        <w:spacing w:line="302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Съгласно данните на фиг.3</w:t>
      </w:r>
      <w:r w:rsidR="009C3BBB" w:rsidRPr="008869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е видно, че през 2022 г. и 2023 г. </w:t>
      </w:r>
      <w:r w:rsidR="009C3BBB" w:rsidRPr="0088699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вносът на необработен дървен материал по код 4403 надхвърля многократно износа</w:t>
      </w:r>
      <w:r w:rsidR="009C3BBB" w:rsidRPr="008869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същия код, както следва: </w:t>
      </w:r>
    </w:p>
    <w:p w:rsidR="009C3BBB" w:rsidRPr="0088699F" w:rsidRDefault="009C3BBB" w:rsidP="009C3BBB">
      <w:pPr>
        <w:spacing w:line="302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869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1. През 2022 г. изнесеният необработен дървен материал е 20 112 тона, а внесеният - 54 050 тона ,т.е. вносът е 2,6 пъти повече от износа;</w:t>
      </w:r>
    </w:p>
    <w:p w:rsidR="009C3BBB" w:rsidRPr="0088699F" w:rsidRDefault="009C3BBB" w:rsidP="009C3BBB">
      <w:pPr>
        <w:spacing w:line="302" w:lineRule="auto"/>
        <w:ind w:left="0" w:firstLine="709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8699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2. През 2023 г. количеството на изнесения дървен материал е 11 322 тона, а внесеният е 38 027 тона т.е. вносът е 3,4 пъти повече от износа.  </w:t>
      </w:r>
    </w:p>
    <w:p w:rsidR="009C3BBB" w:rsidRPr="00A41160" w:rsidRDefault="009C3BBB" w:rsidP="009C3BBB">
      <w:pPr>
        <w:spacing w:line="302" w:lineRule="auto"/>
        <w:ind w:left="0" w:right="283" w:firstLine="709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9C3BBB" w:rsidRDefault="009C3BBB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br w:type="page"/>
      </w:r>
    </w:p>
    <w:p w:rsidR="00D04D8A" w:rsidRPr="00822267" w:rsidRDefault="00D04D8A" w:rsidP="00822267">
      <w:pPr>
        <w:spacing w:line="302" w:lineRule="auto"/>
        <w:ind w:right="-1" w:firstLine="142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822267">
        <w:rPr>
          <w:rFonts w:ascii="Times New Roman" w:hAnsi="Times New Roman" w:cs="Times New Roman"/>
          <w:i/>
          <w:sz w:val="24"/>
          <w:szCs w:val="24"/>
        </w:rPr>
        <w:lastRenderedPageBreak/>
        <w:t xml:space="preserve">Сравнение внос/износ общо по двата кода </w:t>
      </w:r>
      <w:r w:rsidRPr="00822267">
        <w:rPr>
          <w:rFonts w:ascii="Times New Roman" w:hAnsi="Times New Roman" w:cs="Times New Roman"/>
          <w:i/>
          <w:sz w:val="24"/>
          <w:szCs w:val="24"/>
          <w:lang w:val="en-US"/>
        </w:rPr>
        <w:t>(4401+4403</w:t>
      </w:r>
      <w:r w:rsidR="009C3BBB" w:rsidRPr="00822267">
        <w:rPr>
          <w:rFonts w:ascii="Times New Roman" w:hAnsi="Times New Roman" w:cs="Times New Roman"/>
          <w:i/>
          <w:sz w:val="24"/>
          <w:szCs w:val="24"/>
          <w:lang w:val="en-US"/>
        </w:rPr>
        <w:t>.</w:t>
      </w:r>
    </w:p>
    <w:p w:rsidR="009C3BBB" w:rsidRPr="009C3BBB" w:rsidRDefault="009C3BBB" w:rsidP="00D05E81">
      <w:pPr>
        <w:spacing w:line="302" w:lineRule="auto"/>
        <w:ind w:left="0" w:right="-1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noProof/>
          <w:lang w:eastAsia="bg-BG"/>
        </w:rPr>
        <w:drawing>
          <wp:inline distT="0" distB="0" distL="0" distR="0" wp14:anchorId="03E75C1D" wp14:editId="797D7512">
            <wp:extent cx="7315200" cy="2898475"/>
            <wp:effectExtent l="0" t="0" r="0" b="16510"/>
            <wp:docPr id="9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9C3BBB" w:rsidRPr="00A41160" w:rsidRDefault="009C3BBB" w:rsidP="009C3BBB">
      <w:pPr>
        <w:ind w:left="0" w:firstLine="709"/>
        <w:rPr>
          <w:rFonts w:ascii="Times New Roman" w:hAnsi="Times New Roman" w:cs="Times New Roman"/>
          <w:b/>
          <w:bCs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t xml:space="preserve">Фиг. </w:t>
      </w:r>
      <w:r>
        <w:rPr>
          <w:rFonts w:ascii="Times New Roman" w:hAnsi="Times New Roman" w:cs="Times New Roman"/>
          <w:b/>
          <w:i/>
          <w:sz w:val="20"/>
          <w:szCs w:val="20"/>
          <w:lang w:val="en-US"/>
        </w:rPr>
        <w:t>4</w:t>
      </w:r>
      <w:r w:rsidRPr="00A41160">
        <w:rPr>
          <w:rFonts w:ascii="Times New Roman" w:hAnsi="Times New Roman" w:cs="Times New Roman"/>
          <w:b/>
          <w:i/>
          <w:sz w:val="20"/>
          <w:szCs w:val="20"/>
        </w:rPr>
        <w:t xml:space="preserve">.  </w:t>
      </w:r>
      <w:r>
        <w:rPr>
          <w:rFonts w:ascii="Times New Roman" w:hAnsi="Times New Roman" w:cs="Times New Roman"/>
          <w:b/>
          <w:i/>
          <w:sz w:val="20"/>
          <w:szCs w:val="20"/>
        </w:rPr>
        <w:t>Сравнение на количествата на</w:t>
      </w:r>
      <w:r>
        <w:rPr>
          <w:rFonts w:ascii="Times New Roman" w:hAnsi="Times New Roman" w:cs="Times New Roman"/>
          <w:b/>
          <w:bCs/>
          <w:i/>
          <w:sz w:val="20"/>
          <w:szCs w:val="20"/>
        </w:rPr>
        <w:t xml:space="preserve"> внесените/пристигналите с тези на изнесените/изпратените</w:t>
      </w:r>
      <w:r w:rsidRPr="00A41160">
        <w:rPr>
          <w:rFonts w:ascii="Times New Roman" w:hAnsi="Times New Roman" w:cs="Times New Roman"/>
          <w:b/>
          <w:bCs/>
          <w:i/>
          <w:sz w:val="20"/>
          <w:szCs w:val="20"/>
        </w:rPr>
        <w:t xml:space="preserve"> дървени материали </w:t>
      </w:r>
      <w:r>
        <w:rPr>
          <w:rFonts w:ascii="Times New Roman" w:hAnsi="Times New Roman" w:cs="Times New Roman"/>
          <w:b/>
          <w:bCs/>
          <w:i/>
          <w:sz w:val="20"/>
          <w:szCs w:val="20"/>
        </w:rPr>
        <w:t xml:space="preserve">общо за двата  кода  (4401 + </w:t>
      </w:r>
      <w:r w:rsidRPr="00A41160">
        <w:rPr>
          <w:rFonts w:ascii="Times New Roman" w:hAnsi="Times New Roman" w:cs="Times New Roman"/>
          <w:b/>
          <w:bCs/>
          <w:i/>
          <w:sz w:val="20"/>
          <w:szCs w:val="20"/>
        </w:rPr>
        <w:t>4403) в тон</w:t>
      </w:r>
      <w:r w:rsidR="00D05E81">
        <w:rPr>
          <w:rFonts w:ascii="Times New Roman" w:hAnsi="Times New Roman" w:cs="Times New Roman"/>
          <w:b/>
          <w:bCs/>
          <w:i/>
          <w:sz w:val="20"/>
          <w:szCs w:val="20"/>
        </w:rPr>
        <w:t xml:space="preserve"> и в %,</w:t>
      </w:r>
      <w:r w:rsidRPr="00A41160">
        <w:rPr>
          <w:rFonts w:ascii="Times New Roman" w:hAnsi="Times New Roman" w:cs="Times New Roman"/>
          <w:b/>
          <w:bCs/>
          <w:i/>
          <w:sz w:val="20"/>
          <w:szCs w:val="20"/>
        </w:rPr>
        <w:t xml:space="preserve"> по години за периода от 2008 г. до 2023 г. вкл.</w:t>
      </w:r>
    </w:p>
    <w:p w:rsidR="009C3BBB" w:rsidRDefault="009C3BBB" w:rsidP="009C3BBB">
      <w:pPr>
        <w:spacing w:line="302" w:lineRule="auto"/>
        <w:ind w:left="0" w:right="-1"/>
        <w:rPr>
          <w:rFonts w:ascii="Times New Roman" w:hAnsi="Times New Roman" w:cs="Times New Roman"/>
          <w:sz w:val="24"/>
          <w:szCs w:val="24"/>
        </w:rPr>
      </w:pPr>
    </w:p>
    <w:p w:rsidR="00C82CB9" w:rsidRDefault="00C82CB9" w:rsidP="00C82CB9">
      <w:pPr>
        <w:spacing w:line="302" w:lineRule="auto"/>
        <w:ind w:left="0" w:right="-1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За периода от 2008 г. до 2018 г. </w:t>
      </w:r>
      <w:r w:rsidRPr="001F3194">
        <w:rPr>
          <w:rFonts w:ascii="Times New Roman" w:hAnsi="Times New Roman" w:cs="Times New Roman"/>
          <w:sz w:val="24"/>
          <w:szCs w:val="24"/>
        </w:rPr>
        <w:t>Сравнявайки обемите на изнесените/изпратените дървени материали по съответните кодове и по години с внесените/пристигналите по същите кодове е видно, че количествата на внесените/пристигналите дървени материали са значително по-ниски от тези на изнесените/изпратените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35411" w:rsidRDefault="00C82CB9" w:rsidP="00835411">
      <w:pPr>
        <w:spacing w:line="302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835411" w:rsidRPr="00A41160">
        <w:rPr>
          <w:rFonts w:ascii="Times New Roman" w:hAnsi="Times New Roman" w:cs="Times New Roman"/>
          <w:sz w:val="24"/>
          <w:szCs w:val="24"/>
        </w:rPr>
        <w:t>. Внесените/пристигналите дървени материали общо по двата кода</w:t>
      </w:r>
      <w:r w:rsidR="00835411">
        <w:rPr>
          <w:rFonts w:ascii="Times New Roman" w:hAnsi="Times New Roman" w:cs="Times New Roman"/>
          <w:sz w:val="24"/>
          <w:szCs w:val="24"/>
        </w:rPr>
        <w:t xml:space="preserve"> </w:t>
      </w:r>
      <w:r w:rsidR="00835411"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835411" w:rsidRPr="00CB2344">
        <w:rPr>
          <w:rFonts w:ascii="Times New Roman" w:hAnsi="Times New Roman" w:cs="Times New Roman"/>
          <w:i/>
          <w:sz w:val="24"/>
          <w:szCs w:val="24"/>
          <w:lang w:val="en-US"/>
        </w:rPr>
        <w:t>4401+4403</w:t>
      </w:r>
      <w:r w:rsidR="00835411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835411" w:rsidRPr="00A4116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35411" w:rsidRPr="00A41160">
        <w:rPr>
          <w:rFonts w:ascii="Times New Roman" w:hAnsi="Times New Roman" w:cs="Times New Roman"/>
          <w:sz w:val="24"/>
          <w:szCs w:val="24"/>
        </w:rPr>
        <w:t xml:space="preserve">през 2008 г. </w:t>
      </w:r>
      <w:r w:rsidR="00835411">
        <w:rPr>
          <w:rFonts w:ascii="Times New Roman" w:hAnsi="Times New Roman" w:cs="Times New Roman"/>
          <w:sz w:val="24"/>
          <w:szCs w:val="24"/>
        </w:rPr>
        <w:t>са</w:t>
      </w:r>
      <w:r w:rsidR="00835411" w:rsidRPr="00A41160">
        <w:rPr>
          <w:rFonts w:ascii="Times New Roman" w:hAnsi="Times New Roman" w:cs="Times New Roman"/>
          <w:sz w:val="24"/>
          <w:szCs w:val="24"/>
        </w:rPr>
        <w:t xml:space="preserve"> 154 756 тона</w:t>
      </w:r>
      <w:r w:rsidR="00835411">
        <w:rPr>
          <w:rFonts w:ascii="Times New Roman" w:hAnsi="Times New Roman" w:cs="Times New Roman"/>
          <w:sz w:val="24"/>
          <w:szCs w:val="24"/>
        </w:rPr>
        <w:t xml:space="preserve"> и </w:t>
      </w:r>
      <w:r w:rsidR="00835411" w:rsidRPr="00A41160">
        <w:rPr>
          <w:rFonts w:ascii="Times New Roman" w:hAnsi="Times New Roman" w:cs="Times New Roman"/>
          <w:sz w:val="24"/>
          <w:szCs w:val="24"/>
        </w:rPr>
        <w:t>представляват 43,45</w:t>
      </w:r>
      <w:r w:rsidR="00D05E81">
        <w:rPr>
          <w:rFonts w:ascii="Times New Roman" w:hAnsi="Times New Roman" w:cs="Times New Roman"/>
          <w:sz w:val="24"/>
          <w:szCs w:val="24"/>
        </w:rPr>
        <w:t xml:space="preserve"> </w:t>
      </w:r>
      <w:r w:rsidR="00835411" w:rsidRPr="00A41160">
        <w:rPr>
          <w:rFonts w:ascii="Times New Roman" w:hAnsi="Times New Roman" w:cs="Times New Roman"/>
          <w:sz w:val="24"/>
          <w:szCs w:val="24"/>
        </w:rPr>
        <w:t xml:space="preserve">% от изнесените </w:t>
      </w:r>
      <w:r w:rsidR="00835411">
        <w:rPr>
          <w:rFonts w:ascii="Times New Roman" w:hAnsi="Times New Roman" w:cs="Times New Roman"/>
          <w:sz w:val="24"/>
          <w:szCs w:val="24"/>
        </w:rPr>
        <w:t xml:space="preserve">- </w:t>
      </w:r>
      <w:r w:rsidR="00835411" w:rsidRPr="00A41160">
        <w:rPr>
          <w:rFonts w:ascii="Times New Roman" w:hAnsi="Times New Roman" w:cs="Times New Roman"/>
          <w:sz w:val="24"/>
          <w:szCs w:val="24"/>
        </w:rPr>
        <w:t>356 207 тона. Всяка следваща година това съотношение намалява драстично и през 2014 г., когато са отчетени най-високите стойности за износ, процентното съотношение на вноса спрямо износа по двата кода достига 3,73 %  - внесени са 45 339 тона, а са изнесени 1 214 574 тона</w:t>
      </w:r>
      <w:r w:rsidR="00D04D8A">
        <w:rPr>
          <w:rFonts w:ascii="Times New Roman" w:hAnsi="Times New Roman" w:cs="Times New Roman"/>
          <w:sz w:val="24"/>
          <w:szCs w:val="24"/>
        </w:rPr>
        <w:t xml:space="preserve"> т.е. </w:t>
      </w:r>
      <w:r w:rsidR="00D04D8A" w:rsidRPr="00A41160">
        <w:rPr>
          <w:rFonts w:ascii="Times New Roman" w:hAnsi="Times New Roman" w:cs="Times New Roman"/>
          <w:sz w:val="24"/>
          <w:szCs w:val="24"/>
        </w:rPr>
        <w:t>внос</w:t>
      </w:r>
      <w:r w:rsidR="00D04D8A">
        <w:rPr>
          <w:rFonts w:ascii="Times New Roman" w:hAnsi="Times New Roman" w:cs="Times New Roman"/>
          <w:sz w:val="24"/>
          <w:szCs w:val="24"/>
        </w:rPr>
        <w:t>ът общо по двата кода е почти 27 пъти по-малък</w:t>
      </w:r>
      <w:r w:rsidR="00835411" w:rsidRPr="00A41160">
        <w:rPr>
          <w:rFonts w:ascii="Times New Roman" w:hAnsi="Times New Roman" w:cs="Times New Roman"/>
          <w:sz w:val="24"/>
          <w:szCs w:val="24"/>
        </w:rPr>
        <w:t>;</w:t>
      </w:r>
    </w:p>
    <w:p w:rsidR="009F0014" w:rsidRPr="00A41160" w:rsidRDefault="00C82CB9" w:rsidP="009F0014">
      <w:pPr>
        <w:spacing w:line="302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9F0014">
        <w:rPr>
          <w:rFonts w:ascii="Times New Roman" w:hAnsi="Times New Roman" w:cs="Times New Roman"/>
          <w:sz w:val="24"/>
          <w:szCs w:val="24"/>
        </w:rPr>
        <w:t xml:space="preserve">. </w:t>
      </w:r>
      <w:r w:rsidR="009F0014" w:rsidRPr="00A41160">
        <w:rPr>
          <w:rFonts w:ascii="Times New Roman" w:hAnsi="Times New Roman" w:cs="Times New Roman"/>
          <w:sz w:val="24"/>
          <w:szCs w:val="24"/>
        </w:rPr>
        <w:t>През 20</w:t>
      </w:r>
      <w:r w:rsidR="009F0014">
        <w:rPr>
          <w:rFonts w:ascii="Times New Roman" w:hAnsi="Times New Roman" w:cs="Times New Roman"/>
          <w:sz w:val="24"/>
          <w:szCs w:val="24"/>
        </w:rPr>
        <w:t>22 г. количествата на внесените/</w:t>
      </w:r>
      <w:r w:rsidR="009F0014" w:rsidRPr="00A41160">
        <w:rPr>
          <w:rFonts w:ascii="Times New Roman" w:hAnsi="Times New Roman" w:cs="Times New Roman"/>
          <w:sz w:val="24"/>
          <w:szCs w:val="24"/>
        </w:rPr>
        <w:t>пристигналите дървени материали общо по двата кода са почти</w:t>
      </w:r>
      <w:r w:rsidR="009F0014">
        <w:rPr>
          <w:rFonts w:ascii="Times New Roman" w:hAnsi="Times New Roman" w:cs="Times New Roman"/>
          <w:sz w:val="24"/>
          <w:szCs w:val="24"/>
        </w:rPr>
        <w:t xml:space="preserve"> изравнени с тези на изнесените/</w:t>
      </w:r>
      <w:r w:rsidR="009F0014" w:rsidRPr="00A41160">
        <w:rPr>
          <w:rFonts w:ascii="Times New Roman" w:hAnsi="Times New Roman" w:cs="Times New Roman"/>
          <w:sz w:val="24"/>
          <w:szCs w:val="24"/>
        </w:rPr>
        <w:t>изпратените</w:t>
      </w:r>
      <w:r w:rsidR="009F0014">
        <w:rPr>
          <w:rFonts w:ascii="Times New Roman" w:hAnsi="Times New Roman" w:cs="Times New Roman"/>
          <w:sz w:val="24"/>
          <w:szCs w:val="24"/>
        </w:rPr>
        <w:t xml:space="preserve"> -</w:t>
      </w:r>
      <w:r w:rsidR="009F0014" w:rsidRPr="00A41160">
        <w:rPr>
          <w:rFonts w:ascii="Times New Roman" w:hAnsi="Times New Roman" w:cs="Times New Roman"/>
          <w:sz w:val="24"/>
          <w:szCs w:val="24"/>
        </w:rPr>
        <w:t xml:space="preserve"> износът е 225 398 тона, а вносът е 225 032 тона.</w:t>
      </w:r>
    </w:p>
    <w:p w:rsidR="009F0014" w:rsidRPr="00A41160" w:rsidRDefault="009F0014" w:rsidP="009F0014">
      <w:pPr>
        <w:spacing w:line="302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Pr="00A41160">
        <w:rPr>
          <w:rFonts w:ascii="Times New Roman" w:hAnsi="Times New Roman" w:cs="Times New Roman"/>
          <w:sz w:val="24"/>
          <w:szCs w:val="24"/>
        </w:rPr>
        <w:t>През 2023 г. е от</w:t>
      </w:r>
      <w:r>
        <w:rPr>
          <w:rFonts w:ascii="Times New Roman" w:hAnsi="Times New Roman" w:cs="Times New Roman"/>
          <w:sz w:val="24"/>
          <w:szCs w:val="24"/>
        </w:rPr>
        <w:t>четен лек превес при изнесените/</w:t>
      </w:r>
      <w:r w:rsidRPr="00A41160">
        <w:rPr>
          <w:rFonts w:ascii="Times New Roman" w:hAnsi="Times New Roman" w:cs="Times New Roman"/>
          <w:sz w:val="24"/>
          <w:szCs w:val="24"/>
        </w:rPr>
        <w:t>изпратените количества дървени материали общо по двата кода, като са изнесени 162 534 тона, а са внесени 123 500 тона.</w:t>
      </w:r>
    </w:p>
    <w:p w:rsidR="00FF7486" w:rsidRDefault="00FF7486" w:rsidP="00FF7486">
      <w:pPr>
        <w:spacing w:line="302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A41160">
        <w:rPr>
          <w:rFonts w:ascii="Times New Roman" w:hAnsi="Times New Roman" w:cs="Times New Roman"/>
          <w:sz w:val="24"/>
          <w:szCs w:val="24"/>
        </w:rPr>
        <w:t>Отчетените през 2022 г. и 2023 г. близки стойности на изнесените</w:t>
      </w:r>
      <w:r w:rsidR="00CB2344">
        <w:rPr>
          <w:rFonts w:ascii="Times New Roman" w:hAnsi="Times New Roman" w:cs="Times New Roman"/>
          <w:sz w:val="24"/>
          <w:szCs w:val="24"/>
        </w:rPr>
        <w:t>/</w:t>
      </w:r>
      <w:r w:rsidRPr="00A41160">
        <w:rPr>
          <w:rFonts w:ascii="Times New Roman" w:hAnsi="Times New Roman" w:cs="Times New Roman"/>
          <w:sz w:val="24"/>
          <w:szCs w:val="24"/>
        </w:rPr>
        <w:t>изпратените</w:t>
      </w:r>
      <w:r w:rsidR="002B5498" w:rsidRPr="00A41160">
        <w:rPr>
          <w:rFonts w:ascii="Times New Roman" w:hAnsi="Times New Roman" w:cs="Times New Roman"/>
          <w:sz w:val="24"/>
          <w:szCs w:val="24"/>
        </w:rPr>
        <w:t>)</w:t>
      </w:r>
      <w:r w:rsidRPr="00A41160">
        <w:rPr>
          <w:rFonts w:ascii="Times New Roman" w:hAnsi="Times New Roman" w:cs="Times New Roman"/>
          <w:sz w:val="24"/>
          <w:szCs w:val="24"/>
        </w:rPr>
        <w:t xml:space="preserve"> и внесените</w:t>
      </w:r>
      <w:r w:rsidR="00CB2344">
        <w:rPr>
          <w:rFonts w:ascii="Times New Roman" w:hAnsi="Times New Roman" w:cs="Times New Roman"/>
          <w:sz w:val="24"/>
          <w:szCs w:val="24"/>
        </w:rPr>
        <w:t>/</w:t>
      </w:r>
      <w:r w:rsidRPr="00A41160">
        <w:rPr>
          <w:rFonts w:ascii="Times New Roman" w:hAnsi="Times New Roman" w:cs="Times New Roman"/>
          <w:sz w:val="24"/>
          <w:szCs w:val="24"/>
        </w:rPr>
        <w:t>пристигналите</w:t>
      </w:r>
      <w:r w:rsidR="002B5498" w:rsidRPr="00A41160">
        <w:rPr>
          <w:rFonts w:ascii="Times New Roman" w:hAnsi="Times New Roman" w:cs="Times New Roman"/>
          <w:sz w:val="24"/>
          <w:szCs w:val="24"/>
        </w:rPr>
        <w:t xml:space="preserve"> </w:t>
      </w:r>
      <w:r w:rsidRPr="00A41160">
        <w:rPr>
          <w:rFonts w:ascii="Times New Roman" w:hAnsi="Times New Roman" w:cs="Times New Roman"/>
          <w:sz w:val="24"/>
          <w:szCs w:val="24"/>
        </w:rPr>
        <w:t>количества дървени материали общо по двата кода</w:t>
      </w:r>
      <w:r w:rsidR="002B5498" w:rsidRPr="00A41160">
        <w:rPr>
          <w:rFonts w:ascii="Times New Roman" w:hAnsi="Times New Roman" w:cs="Times New Roman"/>
          <w:sz w:val="24"/>
          <w:szCs w:val="24"/>
        </w:rPr>
        <w:t xml:space="preserve"> (</w:t>
      </w:r>
      <w:r w:rsidR="002B5498" w:rsidRPr="00A41160">
        <w:rPr>
          <w:rFonts w:ascii="Times New Roman" w:hAnsi="Times New Roman" w:cs="Times New Roman"/>
          <w:i/>
          <w:sz w:val="24"/>
          <w:szCs w:val="24"/>
        </w:rPr>
        <w:t>4401</w:t>
      </w:r>
      <w:r w:rsidR="002B5498" w:rsidRPr="00A41160">
        <w:rPr>
          <w:rFonts w:ascii="Times New Roman" w:hAnsi="Times New Roman" w:cs="Times New Roman"/>
          <w:sz w:val="24"/>
          <w:szCs w:val="24"/>
        </w:rPr>
        <w:t>+</w:t>
      </w:r>
      <w:r w:rsidR="002B5498" w:rsidRPr="00A41160">
        <w:rPr>
          <w:rFonts w:ascii="Times New Roman" w:hAnsi="Times New Roman" w:cs="Times New Roman"/>
          <w:i/>
          <w:sz w:val="24"/>
          <w:szCs w:val="24"/>
        </w:rPr>
        <w:t>4403</w:t>
      </w:r>
      <w:r w:rsidR="002B5498" w:rsidRPr="00A41160">
        <w:rPr>
          <w:rFonts w:ascii="Times New Roman" w:hAnsi="Times New Roman" w:cs="Times New Roman"/>
          <w:sz w:val="24"/>
          <w:szCs w:val="24"/>
        </w:rPr>
        <w:t>)</w:t>
      </w:r>
      <w:r w:rsidRPr="00A41160">
        <w:rPr>
          <w:rFonts w:ascii="Times New Roman" w:hAnsi="Times New Roman" w:cs="Times New Roman"/>
          <w:sz w:val="24"/>
          <w:szCs w:val="24"/>
        </w:rPr>
        <w:t xml:space="preserve"> се дължи на отчетения след 2014 г. </w:t>
      </w:r>
      <w:r w:rsidR="002B5498" w:rsidRPr="00A41160">
        <w:rPr>
          <w:rFonts w:ascii="Times New Roman" w:hAnsi="Times New Roman" w:cs="Times New Roman"/>
          <w:sz w:val="24"/>
          <w:szCs w:val="24"/>
        </w:rPr>
        <w:t>драстичен</w:t>
      </w:r>
      <w:r w:rsidRPr="00A41160">
        <w:rPr>
          <w:rFonts w:ascii="Times New Roman" w:hAnsi="Times New Roman" w:cs="Times New Roman"/>
          <w:sz w:val="24"/>
          <w:szCs w:val="24"/>
        </w:rPr>
        <w:t xml:space="preserve"> спад при износа</w:t>
      </w:r>
      <w:r w:rsidR="00260658">
        <w:rPr>
          <w:rFonts w:ascii="Times New Roman" w:hAnsi="Times New Roman" w:cs="Times New Roman"/>
          <w:sz w:val="24"/>
          <w:szCs w:val="24"/>
        </w:rPr>
        <w:t xml:space="preserve"> (над 7,5</w:t>
      </w:r>
      <w:r w:rsidR="00354290" w:rsidRPr="00A41160">
        <w:rPr>
          <w:rFonts w:ascii="Times New Roman" w:hAnsi="Times New Roman" w:cs="Times New Roman"/>
          <w:sz w:val="24"/>
          <w:szCs w:val="24"/>
        </w:rPr>
        <w:t xml:space="preserve"> път</w:t>
      </w:r>
      <w:r w:rsidR="002B5498" w:rsidRPr="00A41160">
        <w:rPr>
          <w:rFonts w:ascii="Times New Roman" w:hAnsi="Times New Roman" w:cs="Times New Roman"/>
          <w:sz w:val="24"/>
          <w:szCs w:val="24"/>
        </w:rPr>
        <w:t xml:space="preserve">и намалява износа през 2023 г. </w:t>
      </w:r>
      <w:r w:rsidR="00354290" w:rsidRPr="00A41160">
        <w:rPr>
          <w:rFonts w:ascii="Times New Roman" w:hAnsi="Times New Roman" w:cs="Times New Roman"/>
          <w:sz w:val="24"/>
          <w:szCs w:val="24"/>
        </w:rPr>
        <w:t>спрямо 2014 г.)</w:t>
      </w:r>
      <w:r w:rsidRPr="00A41160">
        <w:rPr>
          <w:rFonts w:ascii="Times New Roman" w:hAnsi="Times New Roman" w:cs="Times New Roman"/>
          <w:sz w:val="24"/>
          <w:szCs w:val="24"/>
        </w:rPr>
        <w:t xml:space="preserve">. В резултат на спада </w:t>
      </w:r>
      <w:r w:rsidR="00CB2344">
        <w:rPr>
          <w:rFonts w:ascii="Times New Roman" w:hAnsi="Times New Roman" w:cs="Times New Roman"/>
          <w:sz w:val="24"/>
          <w:szCs w:val="24"/>
        </w:rPr>
        <w:t>количествата на изнесените/</w:t>
      </w:r>
      <w:r w:rsidRPr="00A41160">
        <w:rPr>
          <w:rFonts w:ascii="Times New Roman" w:hAnsi="Times New Roman" w:cs="Times New Roman"/>
          <w:sz w:val="24"/>
          <w:szCs w:val="24"/>
        </w:rPr>
        <w:t xml:space="preserve">изпратените дървени материали са достигнали </w:t>
      </w:r>
      <w:r w:rsidR="00354290" w:rsidRPr="00A41160">
        <w:rPr>
          <w:rFonts w:ascii="Times New Roman" w:hAnsi="Times New Roman" w:cs="Times New Roman"/>
          <w:sz w:val="24"/>
          <w:szCs w:val="24"/>
        </w:rPr>
        <w:t>значително</w:t>
      </w:r>
      <w:r w:rsidRPr="00A41160">
        <w:rPr>
          <w:rFonts w:ascii="Times New Roman" w:hAnsi="Times New Roman" w:cs="Times New Roman"/>
          <w:sz w:val="24"/>
          <w:szCs w:val="24"/>
        </w:rPr>
        <w:t xml:space="preserve"> по-ниски стойности през последните няколко години</w:t>
      </w:r>
      <w:r w:rsidR="009B48ED">
        <w:rPr>
          <w:rFonts w:ascii="Times New Roman" w:hAnsi="Times New Roman" w:cs="Times New Roman"/>
          <w:sz w:val="24"/>
          <w:szCs w:val="24"/>
        </w:rPr>
        <w:t>. П</w:t>
      </w:r>
      <w:r w:rsidR="0053768F" w:rsidRPr="00A41160">
        <w:rPr>
          <w:rFonts w:ascii="Times New Roman" w:hAnsi="Times New Roman" w:cs="Times New Roman"/>
          <w:sz w:val="24"/>
          <w:szCs w:val="24"/>
        </w:rPr>
        <w:t xml:space="preserve">роцентното съотношение на </w:t>
      </w:r>
      <w:r w:rsidR="0053768F" w:rsidRPr="009B48ED">
        <w:rPr>
          <w:rFonts w:ascii="Times New Roman" w:hAnsi="Times New Roman" w:cs="Times New Roman"/>
          <w:b/>
          <w:sz w:val="24"/>
          <w:szCs w:val="24"/>
        </w:rPr>
        <w:t>внесените спрямо изнесените</w:t>
      </w:r>
      <w:r w:rsidR="0053768F" w:rsidRPr="00A41160">
        <w:rPr>
          <w:rFonts w:ascii="Times New Roman" w:hAnsi="Times New Roman" w:cs="Times New Roman"/>
          <w:sz w:val="24"/>
          <w:szCs w:val="24"/>
        </w:rPr>
        <w:t xml:space="preserve"> количества дървени материали за последните две години </w:t>
      </w:r>
      <w:r w:rsidR="009B48ED">
        <w:rPr>
          <w:rFonts w:ascii="Times New Roman" w:hAnsi="Times New Roman" w:cs="Times New Roman"/>
          <w:sz w:val="24"/>
          <w:szCs w:val="24"/>
        </w:rPr>
        <w:t>е</w:t>
      </w:r>
      <w:r w:rsidR="0053768F" w:rsidRPr="00A41160">
        <w:rPr>
          <w:rFonts w:ascii="Times New Roman" w:hAnsi="Times New Roman" w:cs="Times New Roman"/>
          <w:sz w:val="24"/>
          <w:szCs w:val="24"/>
        </w:rPr>
        <w:t xml:space="preserve">: 99,94 % за 2022 г. и </w:t>
      </w:r>
      <w:r w:rsidR="006364AA" w:rsidRPr="00A41160">
        <w:rPr>
          <w:rFonts w:ascii="Times New Roman" w:hAnsi="Times New Roman" w:cs="Times New Roman"/>
          <w:sz w:val="24"/>
          <w:szCs w:val="24"/>
        </w:rPr>
        <w:t xml:space="preserve"> </w:t>
      </w:r>
      <w:r w:rsidR="0053768F" w:rsidRPr="00A41160">
        <w:rPr>
          <w:rFonts w:ascii="Times New Roman" w:hAnsi="Times New Roman" w:cs="Times New Roman"/>
          <w:sz w:val="24"/>
          <w:szCs w:val="24"/>
        </w:rPr>
        <w:t>75,98 % за 2023 г.</w:t>
      </w:r>
    </w:p>
    <w:p w:rsidR="00271D8E" w:rsidRPr="00A41160" w:rsidRDefault="00271D8E" w:rsidP="00FF7486">
      <w:pPr>
        <w:spacing w:line="302" w:lineRule="auto"/>
        <w:ind w:left="0" w:right="283" w:firstLine="709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CD65FE" w:rsidRPr="00A724B5" w:rsidRDefault="0026134C" w:rsidP="00073B32">
      <w:pPr>
        <w:ind w:left="0" w:firstLine="709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A724B5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Процентно съотношение между изнесените</w:t>
      </w:r>
      <w:r w:rsidR="00B004ED" w:rsidRPr="00A724B5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/</w:t>
      </w:r>
      <w:r w:rsidRPr="00A724B5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изпратените дървени материали и общия добив на обла лежаща дървесина в пл. куб. м.</w:t>
      </w:r>
    </w:p>
    <w:p w:rsidR="00C1542F" w:rsidRDefault="00A90DCD" w:rsidP="000F6F9F">
      <w:pPr>
        <w:spacing w:line="302" w:lineRule="auto"/>
        <w:ind w:left="0" w:right="-1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0DC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От представените по-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долу</w:t>
      </w:r>
      <w:r w:rsidRPr="00A90D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данни на фиг. </w:t>
      </w:r>
      <w:r w:rsidR="003032A3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A90D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 видно, че процентното съотношение на изнесената дърве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сина</w:t>
      </w:r>
      <w:r w:rsidRPr="00A90DC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двата кода спрямо действителното количество добита дървесина (обла лежаща маса) намалява от 11,14 %  през 2017 г. на 3,55 %  през 2023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г.</w:t>
      </w:r>
    </w:p>
    <w:p w:rsidR="00C1542F" w:rsidRPr="00A41160" w:rsidRDefault="00C1542F" w:rsidP="00C1542F">
      <w:pPr>
        <w:spacing w:line="302" w:lineRule="auto"/>
        <w:ind w:left="0" w:right="-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GoBack"/>
      <w:r>
        <w:rPr>
          <w:noProof/>
          <w:lang w:eastAsia="bg-BG"/>
        </w:rPr>
        <w:drawing>
          <wp:inline distT="0" distB="0" distL="0" distR="0" wp14:anchorId="23E7F06F" wp14:editId="0EBB83F7">
            <wp:extent cx="7156450" cy="3726611"/>
            <wp:effectExtent l="0" t="0" r="6350" b="762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bookmarkEnd w:id="0"/>
    </w:p>
    <w:p w:rsidR="00CD65FE" w:rsidRDefault="00CD65FE" w:rsidP="00CD65FE">
      <w:pPr>
        <w:ind w:firstLine="709"/>
        <w:rPr>
          <w:rFonts w:ascii="Times New Roman" w:hAnsi="Times New Roman" w:cs="Times New Roman"/>
          <w:b/>
          <w:bCs/>
          <w:i/>
          <w:sz w:val="20"/>
          <w:szCs w:val="20"/>
        </w:rPr>
      </w:pPr>
      <w:r w:rsidRPr="00A41160">
        <w:rPr>
          <w:rFonts w:ascii="Times New Roman" w:hAnsi="Times New Roman" w:cs="Times New Roman"/>
          <w:b/>
          <w:i/>
          <w:sz w:val="20"/>
          <w:szCs w:val="20"/>
        </w:rPr>
        <w:t xml:space="preserve">Фиг. </w:t>
      </w:r>
      <w:r w:rsidR="009C3BBB">
        <w:rPr>
          <w:rFonts w:ascii="Times New Roman" w:hAnsi="Times New Roman" w:cs="Times New Roman"/>
          <w:b/>
          <w:i/>
          <w:sz w:val="20"/>
          <w:szCs w:val="20"/>
        </w:rPr>
        <w:t>5</w:t>
      </w:r>
      <w:r w:rsidRPr="00A41160">
        <w:rPr>
          <w:rFonts w:ascii="Times New Roman" w:hAnsi="Times New Roman" w:cs="Times New Roman"/>
          <w:b/>
          <w:i/>
          <w:sz w:val="20"/>
          <w:szCs w:val="20"/>
        </w:rPr>
        <w:t xml:space="preserve">.  </w:t>
      </w:r>
      <w:r w:rsidR="00E8054B" w:rsidRPr="00A41160">
        <w:rPr>
          <w:rFonts w:ascii="Times New Roman" w:hAnsi="Times New Roman" w:cs="Times New Roman"/>
          <w:b/>
          <w:i/>
          <w:sz w:val="20"/>
          <w:szCs w:val="20"/>
        </w:rPr>
        <w:t>Динамика на к</w:t>
      </w:r>
      <w:r w:rsidR="00E8054B" w:rsidRPr="00A41160">
        <w:rPr>
          <w:rFonts w:ascii="Times New Roman" w:hAnsi="Times New Roman" w:cs="Times New Roman"/>
          <w:b/>
          <w:bCs/>
          <w:i/>
          <w:sz w:val="20"/>
          <w:szCs w:val="20"/>
        </w:rPr>
        <w:t>оличествата</w:t>
      </w:r>
      <w:r w:rsidR="005F5C15">
        <w:rPr>
          <w:rFonts w:ascii="Times New Roman" w:hAnsi="Times New Roman" w:cs="Times New Roman"/>
          <w:b/>
          <w:bCs/>
          <w:i/>
          <w:sz w:val="20"/>
          <w:szCs w:val="20"/>
        </w:rPr>
        <w:t xml:space="preserve"> изнесени/</w:t>
      </w:r>
      <w:r w:rsidR="00E8054B" w:rsidRPr="00A41160">
        <w:rPr>
          <w:rFonts w:ascii="Times New Roman" w:hAnsi="Times New Roman" w:cs="Times New Roman"/>
          <w:b/>
          <w:bCs/>
          <w:i/>
          <w:sz w:val="20"/>
          <w:szCs w:val="20"/>
        </w:rPr>
        <w:t>изпратени</w:t>
      </w:r>
      <w:r w:rsidR="00C1542F">
        <w:rPr>
          <w:rFonts w:ascii="Times New Roman" w:hAnsi="Times New Roman" w:cs="Times New Roman"/>
          <w:b/>
          <w:bCs/>
          <w:i/>
          <w:sz w:val="20"/>
          <w:szCs w:val="20"/>
        </w:rPr>
        <w:t>, внесени/получени</w:t>
      </w:r>
      <w:r w:rsidR="00E8054B" w:rsidRPr="00A41160">
        <w:rPr>
          <w:rFonts w:ascii="Times New Roman" w:hAnsi="Times New Roman" w:cs="Times New Roman"/>
          <w:b/>
          <w:bCs/>
          <w:i/>
          <w:sz w:val="20"/>
          <w:szCs w:val="20"/>
        </w:rPr>
        <w:t xml:space="preserve"> дървени материали  общо за двата  кода  (код 4401 + код 4403) в пл. куб. м., количества добита дървесина и процентно съотношение на износа</w:t>
      </w:r>
      <w:r w:rsidR="00C1542F">
        <w:rPr>
          <w:rFonts w:ascii="Times New Roman" w:hAnsi="Times New Roman" w:cs="Times New Roman"/>
          <w:b/>
          <w:bCs/>
          <w:i/>
          <w:sz w:val="20"/>
          <w:szCs w:val="20"/>
        </w:rPr>
        <w:t xml:space="preserve"> и вноса</w:t>
      </w:r>
      <w:r w:rsidR="00E8054B" w:rsidRPr="00A41160">
        <w:rPr>
          <w:rFonts w:ascii="Times New Roman" w:hAnsi="Times New Roman" w:cs="Times New Roman"/>
          <w:b/>
          <w:bCs/>
          <w:i/>
          <w:sz w:val="20"/>
          <w:szCs w:val="20"/>
        </w:rPr>
        <w:t xml:space="preserve"> спрямо общия обем добита дървесинна, по години за периода </w:t>
      </w:r>
      <w:r w:rsidR="00837ECF" w:rsidRPr="00A41160">
        <w:rPr>
          <w:rFonts w:ascii="Times New Roman" w:hAnsi="Times New Roman" w:cs="Times New Roman"/>
          <w:b/>
          <w:bCs/>
          <w:i/>
          <w:sz w:val="20"/>
          <w:szCs w:val="20"/>
        </w:rPr>
        <w:t>от 2017 г.-2023</w:t>
      </w:r>
      <w:r w:rsidRPr="00A41160">
        <w:rPr>
          <w:rFonts w:ascii="Times New Roman" w:hAnsi="Times New Roman" w:cs="Times New Roman"/>
          <w:b/>
          <w:bCs/>
          <w:i/>
          <w:sz w:val="20"/>
          <w:szCs w:val="20"/>
        </w:rPr>
        <w:t xml:space="preserve"> г.</w:t>
      </w:r>
    </w:p>
    <w:p w:rsidR="00A90DCD" w:rsidRDefault="00A90DCD" w:rsidP="00CD65FE">
      <w:pPr>
        <w:ind w:firstLine="709"/>
        <w:rPr>
          <w:rFonts w:ascii="Times New Roman" w:hAnsi="Times New Roman" w:cs="Times New Roman"/>
          <w:b/>
          <w:bCs/>
          <w:i/>
          <w:sz w:val="20"/>
          <w:szCs w:val="20"/>
        </w:rPr>
      </w:pPr>
    </w:p>
    <w:p w:rsidR="00B004ED" w:rsidRPr="003B3BF8" w:rsidRDefault="00875E46" w:rsidP="00B004ED">
      <w:pPr>
        <w:spacing w:line="302" w:lineRule="auto"/>
        <w:ind w:left="0" w:firstLine="709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От</w:t>
      </w:r>
      <w:r w:rsidR="00B004ED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горе</w:t>
      </w:r>
      <w:r w:rsidR="00B004ED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изложеното може да </w:t>
      </w: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се обобщи следното</w:t>
      </w:r>
      <w:r w:rsidR="00B004ED" w:rsidRPr="003B3BF8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:</w:t>
      </w:r>
    </w:p>
    <w:p w:rsidR="00B004ED" w:rsidRDefault="00B004ED" w:rsidP="00B004ED">
      <w:pPr>
        <w:spacing w:line="302" w:lineRule="auto"/>
        <w:ind w:left="0" w:firstLine="709"/>
        <w:rPr>
          <w:rFonts w:ascii="Times New Roman" w:hAnsi="Times New Roman" w:cs="Times New Roman"/>
          <w:i/>
          <w:sz w:val="24"/>
          <w:szCs w:val="24"/>
        </w:rPr>
      </w:pPr>
      <w:r w:rsidRPr="00F062FE">
        <w:rPr>
          <w:rFonts w:ascii="Times New Roman" w:hAnsi="Times New Roman" w:cs="Times New Roman"/>
          <w:sz w:val="24"/>
          <w:szCs w:val="24"/>
        </w:rPr>
        <w:t xml:space="preserve">1. За периода </w:t>
      </w:r>
      <w:r>
        <w:rPr>
          <w:rFonts w:ascii="Times New Roman" w:hAnsi="Times New Roman" w:cs="Times New Roman"/>
          <w:sz w:val="24"/>
          <w:szCs w:val="24"/>
        </w:rPr>
        <w:t>2008 г. – 2014 г.</w:t>
      </w:r>
      <w:r w:rsidRPr="00F062FE">
        <w:rPr>
          <w:rFonts w:ascii="Times New Roman" w:hAnsi="Times New Roman" w:cs="Times New Roman"/>
          <w:sz w:val="24"/>
          <w:szCs w:val="24"/>
        </w:rPr>
        <w:t xml:space="preserve"> е очертана </w:t>
      </w:r>
      <w:r w:rsidRPr="003B3BF8">
        <w:rPr>
          <w:rFonts w:ascii="Times New Roman" w:hAnsi="Times New Roman" w:cs="Times New Roman"/>
          <w:b/>
          <w:sz w:val="24"/>
          <w:szCs w:val="24"/>
        </w:rPr>
        <w:t>нарастваща тенденция</w:t>
      </w:r>
      <w:r>
        <w:rPr>
          <w:rFonts w:ascii="Times New Roman" w:hAnsi="Times New Roman" w:cs="Times New Roman"/>
          <w:sz w:val="24"/>
          <w:szCs w:val="24"/>
        </w:rPr>
        <w:t xml:space="preserve"> на изнесен</w:t>
      </w:r>
      <w:r w:rsidR="00875E46">
        <w:rPr>
          <w:rFonts w:ascii="Times New Roman" w:hAnsi="Times New Roman" w:cs="Times New Roman"/>
          <w:sz w:val="24"/>
          <w:szCs w:val="24"/>
        </w:rPr>
        <w:t>ата</w:t>
      </w:r>
      <w:r>
        <w:rPr>
          <w:rFonts w:ascii="Times New Roman" w:hAnsi="Times New Roman" w:cs="Times New Roman"/>
          <w:sz w:val="24"/>
          <w:szCs w:val="24"/>
        </w:rPr>
        <w:t>/изпратен</w:t>
      </w:r>
      <w:r w:rsidR="00875E46">
        <w:rPr>
          <w:rFonts w:ascii="Times New Roman" w:hAnsi="Times New Roman" w:cs="Times New Roman"/>
          <w:sz w:val="24"/>
          <w:szCs w:val="24"/>
        </w:rPr>
        <w:t>ата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F062FE">
        <w:rPr>
          <w:rFonts w:ascii="Times New Roman" w:hAnsi="Times New Roman" w:cs="Times New Roman"/>
          <w:sz w:val="24"/>
          <w:szCs w:val="24"/>
        </w:rPr>
        <w:t>дърве</w:t>
      </w:r>
      <w:r w:rsidR="00875E46">
        <w:rPr>
          <w:rFonts w:ascii="Times New Roman" w:hAnsi="Times New Roman" w:cs="Times New Roman"/>
          <w:sz w:val="24"/>
          <w:szCs w:val="24"/>
        </w:rPr>
        <w:t xml:space="preserve">сина и по двата кода - </w:t>
      </w:r>
      <w:r w:rsidRPr="00715AAA">
        <w:rPr>
          <w:rFonts w:ascii="Times New Roman" w:hAnsi="Times New Roman" w:cs="Times New Roman"/>
          <w:i/>
          <w:sz w:val="24"/>
          <w:szCs w:val="24"/>
        </w:rPr>
        <w:t>4401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Pr="00715AAA">
        <w:rPr>
          <w:rFonts w:ascii="Times New Roman" w:hAnsi="Times New Roman" w:cs="Times New Roman"/>
          <w:i/>
          <w:sz w:val="24"/>
          <w:szCs w:val="24"/>
        </w:rPr>
        <w:t>4403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875E46">
        <w:rPr>
          <w:rFonts w:ascii="Times New Roman" w:hAnsi="Times New Roman" w:cs="Times New Roman"/>
          <w:sz w:val="24"/>
          <w:szCs w:val="24"/>
        </w:rPr>
        <w:t xml:space="preserve">като при </w:t>
      </w:r>
      <w:r w:rsidR="00875E46" w:rsidRPr="00F062FE">
        <w:rPr>
          <w:rFonts w:ascii="Times New Roman" w:hAnsi="Times New Roman" w:cs="Times New Roman"/>
          <w:sz w:val="24"/>
          <w:szCs w:val="24"/>
        </w:rPr>
        <w:t xml:space="preserve">дървата за горене </w:t>
      </w:r>
      <w:r w:rsidRPr="00F062FE">
        <w:rPr>
          <w:rFonts w:ascii="Times New Roman" w:hAnsi="Times New Roman" w:cs="Times New Roman"/>
          <w:sz w:val="24"/>
          <w:szCs w:val="24"/>
        </w:rPr>
        <w:t xml:space="preserve">увеличението </w:t>
      </w:r>
      <w:r w:rsidR="00875E46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004ED">
        <w:rPr>
          <w:rFonts w:ascii="Times New Roman" w:hAnsi="Times New Roman" w:cs="Times New Roman"/>
          <w:sz w:val="24"/>
          <w:szCs w:val="24"/>
        </w:rPr>
        <w:t>над 6,6 пъти</w:t>
      </w:r>
      <w:r w:rsidRPr="00F062FE">
        <w:rPr>
          <w:rFonts w:ascii="Times New Roman" w:hAnsi="Times New Roman" w:cs="Times New Roman"/>
          <w:i/>
          <w:sz w:val="24"/>
          <w:szCs w:val="24"/>
        </w:rPr>
        <w:t>.</w:t>
      </w:r>
    </w:p>
    <w:p w:rsidR="00B004ED" w:rsidRPr="00271D8E" w:rsidRDefault="00B004ED" w:rsidP="00B004ED">
      <w:pPr>
        <w:spacing w:line="302" w:lineRule="auto"/>
        <w:ind w:left="0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875E46">
        <w:rPr>
          <w:rFonts w:ascii="Times New Roman" w:eastAsia="Times New Roman" w:hAnsi="Times New Roman" w:cs="Times New Roman"/>
          <w:color w:val="000000"/>
          <w:sz w:val="24"/>
          <w:szCs w:val="24"/>
        </w:rPr>
        <w:t>. За периода 2014</w:t>
      </w:r>
      <w:r w:rsidR="000D1B4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г.</w:t>
      </w:r>
      <w:r w:rsidR="000D1B4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 w:rsidR="000D1B4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 w:rsidRPr="00F062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2023 г. </w:t>
      </w:r>
      <w:r w:rsidR="00875E46">
        <w:rPr>
          <w:rFonts w:ascii="Times New Roman" w:eastAsia="Times New Roman" w:hAnsi="Times New Roman" w:cs="Times New Roman"/>
          <w:color w:val="000000"/>
          <w:sz w:val="24"/>
          <w:szCs w:val="24"/>
        </w:rPr>
        <w:t>има</w:t>
      </w:r>
      <w:r w:rsidRPr="00F062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05AF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намаляващ </w:t>
      </w:r>
      <w:r w:rsidR="00875E4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тенденция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 </w:t>
      </w:r>
      <w:r w:rsidR="00875E4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знесените/</w:t>
      </w:r>
      <w:r w:rsidRPr="00F062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изпратените </w:t>
      </w:r>
      <w:r w:rsidR="00875E46">
        <w:rPr>
          <w:rFonts w:ascii="Times New Roman" w:eastAsia="Times New Roman" w:hAnsi="Times New Roman" w:cs="Times New Roman"/>
          <w:color w:val="000000"/>
          <w:sz w:val="24"/>
          <w:szCs w:val="24"/>
        </w:rPr>
        <w:t>количества дървесина по двата кода - близо 7,5 пъти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като </w:t>
      </w:r>
      <w:r w:rsidR="00B64C7C" w:rsidRPr="00F062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</w:t>
      </w:r>
      <w:r w:rsidR="00B64C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облите </w:t>
      </w:r>
      <w:r w:rsidR="00B64C7C" w:rsidRPr="00F062FE">
        <w:rPr>
          <w:rFonts w:ascii="Times New Roman" w:eastAsia="Times New Roman" w:hAnsi="Times New Roman" w:cs="Times New Roman"/>
          <w:color w:val="000000"/>
          <w:sz w:val="24"/>
          <w:szCs w:val="24"/>
        </w:rPr>
        <w:t>дървени</w:t>
      </w:r>
      <w:r w:rsidR="00B64C7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материали </w:t>
      </w:r>
      <w:r w:rsidR="000D1B4F" w:rsidRPr="00F062FE">
        <w:rPr>
          <w:rFonts w:ascii="Times New Roman" w:eastAsia="Times New Roman" w:hAnsi="Times New Roman" w:cs="Times New Roman"/>
          <w:color w:val="000000"/>
          <w:sz w:val="24"/>
          <w:szCs w:val="24"/>
        </w:rPr>
        <w:t>намаление</w:t>
      </w:r>
      <w:r w:rsidR="00875E46"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 w:rsidRPr="00F062F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64C7C">
        <w:rPr>
          <w:rFonts w:ascii="Times New Roman" w:eastAsia="Times New Roman" w:hAnsi="Times New Roman" w:cs="Times New Roman"/>
          <w:color w:val="000000"/>
          <w:sz w:val="24"/>
          <w:szCs w:val="24"/>
        </w:rPr>
        <w:t>е близо 44 пъти</w:t>
      </w:r>
      <w:r w:rsidRPr="00F062F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53D7E" w:rsidRPr="00C82CB9" w:rsidRDefault="00B004ED" w:rsidP="00C82CB9">
      <w:pPr>
        <w:spacing w:line="302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F062FE">
        <w:rPr>
          <w:rFonts w:ascii="Times New Roman" w:hAnsi="Times New Roman" w:cs="Times New Roman"/>
          <w:sz w:val="24"/>
          <w:szCs w:val="24"/>
        </w:rPr>
        <w:t xml:space="preserve">. За периода </w:t>
      </w:r>
      <w:r>
        <w:rPr>
          <w:rFonts w:ascii="Times New Roman" w:hAnsi="Times New Roman" w:cs="Times New Roman"/>
          <w:sz w:val="24"/>
          <w:szCs w:val="24"/>
        </w:rPr>
        <w:t>от 2008 г.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до </w:t>
      </w:r>
      <w:r w:rsidRPr="00F062FE">
        <w:rPr>
          <w:rFonts w:ascii="Times New Roman" w:hAnsi="Times New Roman" w:cs="Times New Roman"/>
          <w:sz w:val="24"/>
          <w:szCs w:val="24"/>
        </w:rPr>
        <w:t xml:space="preserve">2018 г. </w:t>
      </w:r>
      <w:r w:rsidR="00B64C7C">
        <w:rPr>
          <w:rFonts w:ascii="Times New Roman" w:hAnsi="Times New Roman" w:cs="Times New Roman"/>
          <w:sz w:val="24"/>
          <w:szCs w:val="24"/>
        </w:rPr>
        <w:t xml:space="preserve">след известен спад в началото на периода на </w:t>
      </w:r>
      <w:r w:rsidR="00B64C7C" w:rsidRPr="00F062FE">
        <w:rPr>
          <w:rFonts w:ascii="Times New Roman" w:hAnsi="Times New Roman" w:cs="Times New Roman"/>
          <w:sz w:val="24"/>
          <w:szCs w:val="24"/>
        </w:rPr>
        <w:t>внесените</w:t>
      </w:r>
      <w:r w:rsidR="00B64C7C">
        <w:rPr>
          <w:rFonts w:ascii="Times New Roman" w:hAnsi="Times New Roman" w:cs="Times New Roman"/>
          <w:sz w:val="24"/>
          <w:szCs w:val="24"/>
        </w:rPr>
        <w:t>/</w:t>
      </w:r>
      <w:r w:rsidR="00B64C7C" w:rsidRPr="00F062FE">
        <w:rPr>
          <w:rFonts w:ascii="Times New Roman" w:hAnsi="Times New Roman" w:cs="Times New Roman"/>
          <w:sz w:val="24"/>
          <w:szCs w:val="24"/>
        </w:rPr>
        <w:t>пристигналите количества дърве</w:t>
      </w:r>
      <w:r w:rsidR="00B64C7C">
        <w:rPr>
          <w:rFonts w:ascii="Times New Roman" w:hAnsi="Times New Roman" w:cs="Times New Roman"/>
          <w:sz w:val="24"/>
          <w:szCs w:val="24"/>
        </w:rPr>
        <w:t xml:space="preserve">сина по двата кода, от 2018 г. започва слаба тенденция на увеличение, което достига своя пик през 2022 г. (225 хил. тона), </w:t>
      </w:r>
      <w:r w:rsidRPr="00F062FE">
        <w:rPr>
          <w:rFonts w:ascii="Times New Roman" w:hAnsi="Times New Roman" w:cs="Times New Roman"/>
          <w:sz w:val="24"/>
          <w:szCs w:val="24"/>
        </w:rPr>
        <w:t xml:space="preserve"> </w:t>
      </w:r>
      <w:r w:rsidR="00B64C7C">
        <w:rPr>
          <w:rFonts w:ascii="Times New Roman" w:hAnsi="Times New Roman" w:cs="Times New Roman"/>
          <w:sz w:val="24"/>
          <w:szCs w:val="24"/>
        </w:rPr>
        <w:t>но през 2023 г. обемът отново спада под нивото на 2008 г.</w:t>
      </w:r>
      <w:r w:rsidR="00260658">
        <w:rPr>
          <w:rFonts w:ascii="Times New Roman" w:hAnsi="Times New Roman" w:cs="Times New Roman"/>
          <w:sz w:val="24"/>
          <w:szCs w:val="24"/>
        </w:rPr>
        <w:t xml:space="preserve"> </w:t>
      </w:r>
      <w:r w:rsidRPr="00C82C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Средногодишният внос </w:t>
      </w:r>
      <w:r w:rsidR="00C82CB9" w:rsidRPr="00C82C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за </w:t>
      </w:r>
      <w:r w:rsidR="00A724B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посочения </w:t>
      </w:r>
      <w:r w:rsidR="00C82CB9" w:rsidRPr="00C82C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период </w:t>
      </w:r>
      <w:r w:rsidRPr="00C82CB9">
        <w:rPr>
          <w:rFonts w:ascii="Times New Roman" w:hAnsi="Times New Roman" w:cs="Times New Roman"/>
          <w:color w:val="000000" w:themeColor="text1"/>
          <w:sz w:val="24"/>
          <w:szCs w:val="24"/>
        </w:rPr>
        <w:t>представлява около 8,</w:t>
      </w:r>
      <w:r w:rsidR="00C53D7E" w:rsidRPr="00C82CB9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Pr="00C82C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% от средногодишн</w:t>
      </w:r>
      <w:r w:rsidR="00B64C7C" w:rsidRPr="00C82CB9">
        <w:rPr>
          <w:rFonts w:ascii="Times New Roman" w:hAnsi="Times New Roman" w:cs="Times New Roman"/>
          <w:color w:val="000000" w:themeColor="text1"/>
          <w:sz w:val="24"/>
          <w:szCs w:val="24"/>
        </w:rPr>
        <w:t>ия износ на</w:t>
      </w:r>
      <w:r w:rsidRPr="00C82C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дърве</w:t>
      </w:r>
      <w:r w:rsidR="00B64C7C" w:rsidRPr="00C82C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сина </w:t>
      </w:r>
      <w:r w:rsidRPr="00C82CB9">
        <w:rPr>
          <w:rFonts w:ascii="Times New Roman" w:hAnsi="Times New Roman" w:cs="Times New Roman"/>
          <w:color w:val="000000" w:themeColor="text1"/>
          <w:sz w:val="24"/>
          <w:szCs w:val="24"/>
        </w:rPr>
        <w:t>за този период</w:t>
      </w:r>
      <w:r w:rsidR="00A724B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B004ED" w:rsidRDefault="00B004ED" w:rsidP="00B004ED">
      <w:pPr>
        <w:spacing w:line="302" w:lineRule="auto"/>
        <w:ind w:left="0" w:right="283"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F062F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F062FE">
        <w:rPr>
          <w:rFonts w:ascii="Times New Roman" w:hAnsi="Times New Roman" w:cs="Times New Roman"/>
          <w:sz w:val="24"/>
          <w:szCs w:val="24"/>
        </w:rPr>
        <w:t xml:space="preserve"> През 2022 г. и 20</w:t>
      </w:r>
      <w:r w:rsidR="00C53D7E">
        <w:rPr>
          <w:rFonts w:ascii="Times New Roman" w:hAnsi="Times New Roman" w:cs="Times New Roman"/>
          <w:sz w:val="24"/>
          <w:szCs w:val="24"/>
        </w:rPr>
        <w:t>23 г. количествата на внесените</w:t>
      </w:r>
      <w:r>
        <w:rPr>
          <w:rFonts w:ascii="Times New Roman" w:hAnsi="Times New Roman" w:cs="Times New Roman"/>
          <w:sz w:val="24"/>
          <w:szCs w:val="24"/>
          <w:lang w:val="en-US"/>
        </w:rPr>
        <w:t>/</w:t>
      </w:r>
      <w:r w:rsidRPr="00F062FE">
        <w:rPr>
          <w:rFonts w:ascii="Times New Roman" w:hAnsi="Times New Roman" w:cs="Times New Roman"/>
          <w:sz w:val="24"/>
          <w:szCs w:val="24"/>
        </w:rPr>
        <w:t>пристигналите дървени материали общо по двата кода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са почти изравнени с тези на изнесените</w:t>
      </w:r>
      <w:r>
        <w:rPr>
          <w:rFonts w:ascii="Times New Roman" w:hAnsi="Times New Roman" w:cs="Times New Roman"/>
          <w:sz w:val="24"/>
          <w:szCs w:val="24"/>
          <w:lang w:val="en-US"/>
        </w:rPr>
        <w:t>/</w:t>
      </w:r>
      <w:r>
        <w:rPr>
          <w:rFonts w:ascii="Times New Roman" w:hAnsi="Times New Roman" w:cs="Times New Roman"/>
          <w:sz w:val="24"/>
          <w:szCs w:val="24"/>
        </w:rPr>
        <w:t>изпратените.</w:t>
      </w:r>
    </w:p>
    <w:p w:rsidR="000D1B4F" w:rsidRDefault="000D1B4F" w:rsidP="000D1B4F">
      <w:pPr>
        <w:spacing w:line="302" w:lineRule="auto"/>
        <w:ind w:left="0" w:right="-1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D1B4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6. Делът на изнесените/изпратените дървени материали, спрямо </w:t>
      </w:r>
      <w:r w:rsidR="005F5C1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общото количество добита </w:t>
      </w:r>
      <w:r w:rsidR="005F5C15" w:rsidRPr="000D1B4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дървесина </w:t>
      </w:r>
      <w:r w:rsidR="00C53D7E" w:rsidRPr="000F6F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 горски територии </w:t>
      </w:r>
      <w:r w:rsidR="005F5C15" w:rsidRPr="000F6F9F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(</w:t>
      </w:r>
      <w:r w:rsidRPr="000F6F9F">
        <w:rPr>
          <w:rFonts w:ascii="Times New Roman" w:eastAsia="Times New Roman" w:hAnsi="Times New Roman" w:cs="Times New Roman"/>
          <w:color w:val="000000"/>
          <w:sz w:val="24"/>
          <w:szCs w:val="24"/>
        </w:rPr>
        <w:t>обла</w:t>
      </w:r>
      <w:r w:rsidRPr="000D1B4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лежаща</w:t>
      </w:r>
      <w:r w:rsidR="005F5C15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)</w:t>
      </w:r>
      <w:r w:rsidRPr="000D1B4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п</w:t>
      </w:r>
      <w:r w:rsidR="00C53D7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л. куб. м. е </w:t>
      </w:r>
      <w:r w:rsidR="005C6665">
        <w:rPr>
          <w:rFonts w:ascii="Times New Roman" w:eastAsia="Times New Roman" w:hAnsi="Times New Roman" w:cs="Times New Roman"/>
          <w:color w:val="000000"/>
          <w:sz w:val="24"/>
          <w:szCs w:val="24"/>
        </w:rPr>
        <w:t>сравнително малък</w:t>
      </w:r>
      <w:r w:rsidR="00C53D7E">
        <w:rPr>
          <w:rFonts w:ascii="Times New Roman" w:eastAsia="Times New Roman" w:hAnsi="Times New Roman" w:cs="Times New Roman"/>
          <w:color w:val="000000"/>
          <w:sz w:val="24"/>
          <w:szCs w:val="24"/>
        </w:rPr>
        <w:t>, като п</w:t>
      </w:r>
      <w:r w:rsidRPr="000D1B4F">
        <w:rPr>
          <w:rFonts w:ascii="Times New Roman" w:eastAsia="Times New Roman" w:hAnsi="Times New Roman" w:cs="Times New Roman"/>
          <w:color w:val="000000"/>
          <w:sz w:val="24"/>
          <w:szCs w:val="24"/>
        </w:rPr>
        <w:t>рез последните няколко години съотношение</w:t>
      </w:r>
      <w:r w:rsidR="005F5C15"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 w:rsidRPr="000D1B4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непрекъснато намалява и за 2023 г. е едва 3,6 %.</w:t>
      </w:r>
    </w:p>
    <w:p w:rsidR="00C53D7E" w:rsidRDefault="00C53D7E" w:rsidP="000F6F9F">
      <w:pPr>
        <w:spacing w:line="302" w:lineRule="auto"/>
        <w:ind w:left="0" w:right="-1" w:firstLine="70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Pr="00C53D7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Обемът на средногодишния внос </w:t>
      </w:r>
      <w:r w:rsidRPr="000F6F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="000F6F9F" w:rsidRPr="000F6F9F">
        <w:rPr>
          <w:rFonts w:ascii="Times New Roman" w:eastAsia="Times New Roman" w:hAnsi="Times New Roman" w:cs="Times New Roman"/>
          <w:color w:val="000000"/>
          <w:sz w:val="24"/>
          <w:szCs w:val="24"/>
        </w:rPr>
        <w:t>2,16</w:t>
      </w:r>
      <w:r w:rsidRPr="000F6F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% от обема</w:t>
      </w:r>
      <w:r w:rsidRPr="00C53D7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средногодишния добив на дървесина от горски територии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 разглеждания период</w:t>
      </w:r>
      <w:r w:rsidRPr="00C53D7E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sectPr w:rsidR="00C53D7E" w:rsidSect="00A41160">
      <w:footerReference w:type="default" r:id="rId12"/>
      <w:pgSz w:w="12240" w:h="15840" w:code="1"/>
      <w:pgMar w:top="851" w:right="618" w:bottom="0" w:left="567" w:header="720" w:footer="3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38FE" w:rsidRDefault="00E038FE" w:rsidP="00492DFC">
      <w:r>
        <w:separator/>
      </w:r>
    </w:p>
  </w:endnote>
  <w:endnote w:type="continuationSeparator" w:id="0">
    <w:p w:rsidR="00E038FE" w:rsidRDefault="00E038FE" w:rsidP="00492D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2900943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45180" w:rsidRDefault="00A4518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529CE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A45180" w:rsidRDefault="00A45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38FE" w:rsidRDefault="00E038FE" w:rsidP="00492DFC">
      <w:r>
        <w:separator/>
      </w:r>
    </w:p>
  </w:footnote>
  <w:footnote w:type="continuationSeparator" w:id="0">
    <w:p w:rsidR="00E038FE" w:rsidRDefault="00E038FE" w:rsidP="00492D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080F16"/>
    <w:multiLevelType w:val="hybridMultilevel"/>
    <w:tmpl w:val="AC70E384"/>
    <w:lvl w:ilvl="0" w:tplc="4D342DA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647" w:hanging="360"/>
      </w:pPr>
    </w:lvl>
    <w:lvl w:ilvl="2" w:tplc="0402001B" w:tentative="1">
      <w:start w:val="1"/>
      <w:numFmt w:val="lowerRoman"/>
      <w:lvlText w:val="%3."/>
      <w:lvlJc w:val="right"/>
      <w:pPr>
        <w:ind w:left="2367" w:hanging="180"/>
      </w:pPr>
    </w:lvl>
    <w:lvl w:ilvl="3" w:tplc="0402000F" w:tentative="1">
      <w:start w:val="1"/>
      <w:numFmt w:val="decimal"/>
      <w:lvlText w:val="%4."/>
      <w:lvlJc w:val="left"/>
      <w:pPr>
        <w:ind w:left="3087" w:hanging="360"/>
      </w:pPr>
    </w:lvl>
    <w:lvl w:ilvl="4" w:tplc="04020019" w:tentative="1">
      <w:start w:val="1"/>
      <w:numFmt w:val="lowerLetter"/>
      <w:lvlText w:val="%5."/>
      <w:lvlJc w:val="left"/>
      <w:pPr>
        <w:ind w:left="3807" w:hanging="360"/>
      </w:pPr>
    </w:lvl>
    <w:lvl w:ilvl="5" w:tplc="0402001B" w:tentative="1">
      <w:start w:val="1"/>
      <w:numFmt w:val="lowerRoman"/>
      <w:lvlText w:val="%6."/>
      <w:lvlJc w:val="right"/>
      <w:pPr>
        <w:ind w:left="4527" w:hanging="180"/>
      </w:pPr>
    </w:lvl>
    <w:lvl w:ilvl="6" w:tplc="0402000F" w:tentative="1">
      <w:start w:val="1"/>
      <w:numFmt w:val="decimal"/>
      <w:lvlText w:val="%7."/>
      <w:lvlJc w:val="left"/>
      <w:pPr>
        <w:ind w:left="5247" w:hanging="360"/>
      </w:pPr>
    </w:lvl>
    <w:lvl w:ilvl="7" w:tplc="04020019" w:tentative="1">
      <w:start w:val="1"/>
      <w:numFmt w:val="lowerLetter"/>
      <w:lvlText w:val="%8."/>
      <w:lvlJc w:val="left"/>
      <w:pPr>
        <w:ind w:left="5967" w:hanging="360"/>
      </w:pPr>
    </w:lvl>
    <w:lvl w:ilvl="8" w:tplc="040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2344273B"/>
    <w:multiLevelType w:val="hybridMultilevel"/>
    <w:tmpl w:val="01D81E34"/>
    <w:lvl w:ilvl="0" w:tplc="3C0CF6E2">
      <w:start w:val="2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447872B7"/>
    <w:multiLevelType w:val="hybridMultilevel"/>
    <w:tmpl w:val="E98C54BC"/>
    <w:lvl w:ilvl="0" w:tplc="E69225F8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020019" w:tentative="1">
      <w:start w:val="1"/>
      <w:numFmt w:val="lowerLetter"/>
      <w:lvlText w:val="%2."/>
      <w:lvlJc w:val="left"/>
      <w:pPr>
        <w:ind w:left="1789" w:hanging="360"/>
      </w:pPr>
    </w:lvl>
    <w:lvl w:ilvl="2" w:tplc="0402001B" w:tentative="1">
      <w:start w:val="1"/>
      <w:numFmt w:val="lowerRoman"/>
      <w:lvlText w:val="%3."/>
      <w:lvlJc w:val="right"/>
      <w:pPr>
        <w:ind w:left="2509" w:hanging="180"/>
      </w:pPr>
    </w:lvl>
    <w:lvl w:ilvl="3" w:tplc="0402000F" w:tentative="1">
      <w:start w:val="1"/>
      <w:numFmt w:val="decimal"/>
      <w:lvlText w:val="%4."/>
      <w:lvlJc w:val="left"/>
      <w:pPr>
        <w:ind w:left="3229" w:hanging="360"/>
      </w:pPr>
    </w:lvl>
    <w:lvl w:ilvl="4" w:tplc="04020019" w:tentative="1">
      <w:start w:val="1"/>
      <w:numFmt w:val="lowerLetter"/>
      <w:lvlText w:val="%5."/>
      <w:lvlJc w:val="left"/>
      <w:pPr>
        <w:ind w:left="3949" w:hanging="360"/>
      </w:pPr>
    </w:lvl>
    <w:lvl w:ilvl="5" w:tplc="0402001B" w:tentative="1">
      <w:start w:val="1"/>
      <w:numFmt w:val="lowerRoman"/>
      <w:lvlText w:val="%6."/>
      <w:lvlJc w:val="right"/>
      <w:pPr>
        <w:ind w:left="4669" w:hanging="180"/>
      </w:pPr>
    </w:lvl>
    <w:lvl w:ilvl="6" w:tplc="0402000F" w:tentative="1">
      <w:start w:val="1"/>
      <w:numFmt w:val="decimal"/>
      <w:lvlText w:val="%7."/>
      <w:lvlJc w:val="left"/>
      <w:pPr>
        <w:ind w:left="5389" w:hanging="360"/>
      </w:pPr>
    </w:lvl>
    <w:lvl w:ilvl="7" w:tplc="04020019" w:tentative="1">
      <w:start w:val="1"/>
      <w:numFmt w:val="lowerLetter"/>
      <w:lvlText w:val="%8."/>
      <w:lvlJc w:val="left"/>
      <w:pPr>
        <w:ind w:left="6109" w:hanging="360"/>
      </w:pPr>
    </w:lvl>
    <w:lvl w:ilvl="8" w:tplc="040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46805B9D"/>
    <w:multiLevelType w:val="hybridMultilevel"/>
    <w:tmpl w:val="BD946312"/>
    <w:lvl w:ilvl="0" w:tplc="65BA21D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9" w:hanging="360"/>
      </w:pPr>
    </w:lvl>
    <w:lvl w:ilvl="2" w:tplc="0402001B" w:tentative="1">
      <w:start w:val="1"/>
      <w:numFmt w:val="lowerRoman"/>
      <w:lvlText w:val="%3."/>
      <w:lvlJc w:val="right"/>
      <w:pPr>
        <w:ind w:left="2509" w:hanging="180"/>
      </w:pPr>
    </w:lvl>
    <w:lvl w:ilvl="3" w:tplc="0402000F" w:tentative="1">
      <w:start w:val="1"/>
      <w:numFmt w:val="decimal"/>
      <w:lvlText w:val="%4."/>
      <w:lvlJc w:val="left"/>
      <w:pPr>
        <w:ind w:left="3229" w:hanging="360"/>
      </w:pPr>
    </w:lvl>
    <w:lvl w:ilvl="4" w:tplc="04020019" w:tentative="1">
      <w:start w:val="1"/>
      <w:numFmt w:val="lowerLetter"/>
      <w:lvlText w:val="%5."/>
      <w:lvlJc w:val="left"/>
      <w:pPr>
        <w:ind w:left="3949" w:hanging="360"/>
      </w:pPr>
    </w:lvl>
    <w:lvl w:ilvl="5" w:tplc="0402001B" w:tentative="1">
      <w:start w:val="1"/>
      <w:numFmt w:val="lowerRoman"/>
      <w:lvlText w:val="%6."/>
      <w:lvlJc w:val="right"/>
      <w:pPr>
        <w:ind w:left="4669" w:hanging="180"/>
      </w:pPr>
    </w:lvl>
    <w:lvl w:ilvl="6" w:tplc="0402000F" w:tentative="1">
      <w:start w:val="1"/>
      <w:numFmt w:val="decimal"/>
      <w:lvlText w:val="%7."/>
      <w:lvlJc w:val="left"/>
      <w:pPr>
        <w:ind w:left="5389" w:hanging="360"/>
      </w:pPr>
    </w:lvl>
    <w:lvl w:ilvl="7" w:tplc="04020019" w:tentative="1">
      <w:start w:val="1"/>
      <w:numFmt w:val="lowerLetter"/>
      <w:lvlText w:val="%8."/>
      <w:lvlJc w:val="left"/>
      <w:pPr>
        <w:ind w:left="6109" w:hanging="360"/>
      </w:pPr>
    </w:lvl>
    <w:lvl w:ilvl="8" w:tplc="040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494938E5"/>
    <w:multiLevelType w:val="hybridMultilevel"/>
    <w:tmpl w:val="9B5A7C3A"/>
    <w:lvl w:ilvl="0" w:tplc="FC144ED4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020019" w:tentative="1">
      <w:start w:val="1"/>
      <w:numFmt w:val="lowerLetter"/>
      <w:lvlText w:val="%2."/>
      <w:lvlJc w:val="left"/>
      <w:pPr>
        <w:ind w:left="1789" w:hanging="360"/>
      </w:pPr>
    </w:lvl>
    <w:lvl w:ilvl="2" w:tplc="0402001B" w:tentative="1">
      <w:start w:val="1"/>
      <w:numFmt w:val="lowerRoman"/>
      <w:lvlText w:val="%3."/>
      <w:lvlJc w:val="right"/>
      <w:pPr>
        <w:ind w:left="2509" w:hanging="180"/>
      </w:pPr>
    </w:lvl>
    <w:lvl w:ilvl="3" w:tplc="0402000F" w:tentative="1">
      <w:start w:val="1"/>
      <w:numFmt w:val="decimal"/>
      <w:lvlText w:val="%4."/>
      <w:lvlJc w:val="left"/>
      <w:pPr>
        <w:ind w:left="3229" w:hanging="360"/>
      </w:pPr>
    </w:lvl>
    <w:lvl w:ilvl="4" w:tplc="04020019" w:tentative="1">
      <w:start w:val="1"/>
      <w:numFmt w:val="lowerLetter"/>
      <w:lvlText w:val="%5."/>
      <w:lvlJc w:val="left"/>
      <w:pPr>
        <w:ind w:left="3949" w:hanging="360"/>
      </w:pPr>
    </w:lvl>
    <w:lvl w:ilvl="5" w:tplc="0402001B" w:tentative="1">
      <w:start w:val="1"/>
      <w:numFmt w:val="lowerRoman"/>
      <w:lvlText w:val="%6."/>
      <w:lvlJc w:val="right"/>
      <w:pPr>
        <w:ind w:left="4669" w:hanging="180"/>
      </w:pPr>
    </w:lvl>
    <w:lvl w:ilvl="6" w:tplc="0402000F" w:tentative="1">
      <w:start w:val="1"/>
      <w:numFmt w:val="decimal"/>
      <w:lvlText w:val="%7."/>
      <w:lvlJc w:val="left"/>
      <w:pPr>
        <w:ind w:left="5389" w:hanging="360"/>
      </w:pPr>
    </w:lvl>
    <w:lvl w:ilvl="7" w:tplc="04020019" w:tentative="1">
      <w:start w:val="1"/>
      <w:numFmt w:val="lowerLetter"/>
      <w:lvlText w:val="%8."/>
      <w:lvlJc w:val="left"/>
      <w:pPr>
        <w:ind w:left="6109" w:hanging="360"/>
      </w:pPr>
    </w:lvl>
    <w:lvl w:ilvl="8" w:tplc="040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59085890"/>
    <w:multiLevelType w:val="hybridMultilevel"/>
    <w:tmpl w:val="8670F6DA"/>
    <w:lvl w:ilvl="0" w:tplc="196A6EA0">
      <w:start w:val="2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647" w:hanging="360"/>
      </w:pPr>
    </w:lvl>
    <w:lvl w:ilvl="2" w:tplc="0402001B" w:tentative="1">
      <w:start w:val="1"/>
      <w:numFmt w:val="lowerRoman"/>
      <w:lvlText w:val="%3."/>
      <w:lvlJc w:val="right"/>
      <w:pPr>
        <w:ind w:left="2367" w:hanging="180"/>
      </w:pPr>
    </w:lvl>
    <w:lvl w:ilvl="3" w:tplc="0402000F" w:tentative="1">
      <w:start w:val="1"/>
      <w:numFmt w:val="decimal"/>
      <w:lvlText w:val="%4."/>
      <w:lvlJc w:val="left"/>
      <w:pPr>
        <w:ind w:left="3087" w:hanging="360"/>
      </w:pPr>
    </w:lvl>
    <w:lvl w:ilvl="4" w:tplc="04020019" w:tentative="1">
      <w:start w:val="1"/>
      <w:numFmt w:val="lowerLetter"/>
      <w:lvlText w:val="%5."/>
      <w:lvlJc w:val="left"/>
      <w:pPr>
        <w:ind w:left="3807" w:hanging="360"/>
      </w:pPr>
    </w:lvl>
    <w:lvl w:ilvl="5" w:tplc="0402001B" w:tentative="1">
      <w:start w:val="1"/>
      <w:numFmt w:val="lowerRoman"/>
      <w:lvlText w:val="%6."/>
      <w:lvlJc w:val="right"/>
      <w:pPr>
        <w:ind w:left="4527" w:hanging="180"/>
      </w:pPr>
    </w:lvl>
    <w:lvl w:ilvl="6" w:tplc="0402000F" w:tentative="1">
      <w:start w:val="1"/>
      <w:numFmt w:val="decimal"/>
      <w:lvlText w:val="%7."/>
      <w:lvlJc w:val="left"/>
      <w:pPr>
        <w:ind w:left="5247" w:hanging="360"/>
      </w:pPr>
    </w:lvl>
    <w:lvl w:ilvl="7" w:tplc="04020019" w:tentative="1">
      <w:start w:val="1"/>
      <w:numFmt w:val="lowerLetter"/>
      <w:lvlText w:val="%8."/>
      <w:lvlJc w:val="left"/>
      <w:pPr>
        <w:ind w:left="5967" w:hanging="360"/>
      </w:pPr>
    </w:lvl>
    <w:lvl w:ilvl="8" w:tplc="040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64A856A8"/>
    <w:multiLevelType w:val="hybridMultilevel"/>
    <w:tmpl w:val="DFFEC97A"/>
    <w:lvl w:ilvl="0" w:tplc="4D2015A6">
      <w:start w:val="2"/>
      <w:numFmt w:val="bullet"/>
      <w:lvlText w:val="-"/>
      <w:lvlJc w:val="left"/>
      <w:pPr>
        <w:ind w:left="927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4"/>
  </w:num>
  <w:num w:numId="5">
    <w:abstractNumId w:val="2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D3B"/>
    <w:rsid w:val="0000115C"/>
    <w:rsid w:val="000017CD"/>
    <w:rsid w:val="00006FB5"/>
    <w:rsid w:val="00012F96"/>
    <w:rsid w:val="00015897"/>
    <w:rsid w:val="00027008"/>
    <w:rsid w:val="00042B83"/>
    <w:rsid w:val="00052C05"/>
    <w:rsid w:val="00054E31"/>
    <w:rsid w:val="00071CF4"/>
    <w:rsid w:val="00073B32"/>
    <w:rsid w:val="0008587E"/>
    <w:rsid w:val="000918B1"/>
    <w:rsid w:val="000A21EA"/>
    <w:rsid w:val="000C0245"/>
    <w:rsid w:val="000C21C4"/>
    <w:rsid w:val="000C454C"/>
    <w:rsid w:val="000D1B4F"/>
    <w:rsid w:val="000E15E8"/>
    <w:rsid w:val="000F2169"/>
    <w:rsid w:val="000F6692"/>
    <w:rsid w:val="000F6F9F"/>
    <w:rsid w:val="00110D2F"/>
    <w:rsid w:val="00114424"/>
    <w:rsid w:val="001173D3"/>
    <w:rsid w:val="0012015F"/>
    <w:rsid w:val="00121899"/>
    <w:rsid w:val="0013149A"/>
    <w:rsid w:val="0013705E"/>
    <w:rsid w:val="00140B2B"/>
    <w:rsid w:val="0014267F"/>
    <w:rsid w:val="00153023"/>
    <w:rsid w:val="00153464"/>
    <w:rsid w:val="00170891"/>
    <w:rsid w:val="0018330D"/>
    <w:rsid w:val="001A04CC"/>
    <w:rsid w:val="001F3194"/>
    <w:rsid w:val="00211FE3"/>
    <w:rsid w:val="00212EA5"/>
    <w:rsid w:val="002137CA"/>
    <w:rsid w:val="002231C3"/>
    <w:rsid w:val="00224053"/>
    <w:rsid w:val="002300E1"/>
    <w:rsid w:val="0023165F"/>
    <w:rsid w:val="00232B59"/>
    <w:rsid w:val="00255109"/>
    <w:rsid w:val="00256AFC"/>
    <w:rsid w:val="00260658"/>
    <w:rsid w:val="00260A8D"/>
    <w:rsid w:val="0026134C"/>
    <w:rsid w:val="00266DD0"/>
    <w:rsid w:val="00271D8E"/>
    <w:rsid w:val="0028124E"/>
    <w:rsid w:val="00285237"/>
    <w:rsid w:val="00285E30"/>
    <w:rsid w:val="002A7B9A"/>
    <w:rsid w:val="002B5498"/>
    <w:rsid w:val="002C29E5"/>
    <w:rsid w:val="002C694A"/>
    <w:rsid w:val="002C7219"/>
    <w:rsid w:val="002D26D9"/>
    <w:rsid w:val="002D4584"/>
    <w:rsid w:val="003032A3"/>
    <w:rsid w:val="00303425"/>
    <w:rsid w:val="00305AF9"/>
    <w:rsid w:val="003102C5"/>
    <w:rsid w:val="00321C1D"/>
    <w:rsid w:val="00334469"/>
    <w:rsid w:val="0033641B"/>
    <w:rsid w:val="00340CC0"/>
    <w:rsid w:val="00346213"/>
    <w:rsid w:val="00354290"/>
    <w:rsid w:val="00356788"/>
    <w:rsid w:val="00365AEE"/>
    <w:rsid w:val="00366F50"/>
    <w:rsid w:val="0037253D"/>
    <w:rsid w:val="00372CFE"/>
    <w:rsid w:val="0037725A"/>
    <w:rsid w:val="00392C02"/>
    <w:rsid w:val="00396F41"/>
    <w:rsid w:val="003A0CE3"/>
    <w:rsid w:val="003B3BF8"/>
    <w:rsid w:val="003B744F"/>
    <w:rsid w:val="004139F5"/>
    <w:rsid w:val="00423029"/>
    <w:rsid w:val="00425F9F"/>
    <w:rsid w:val="00440D42"/>
    <w:rsid w:val="00456FFE"/>
    <w:rsid w:val="00470D26"/>
    <w:rsid w:val="004735A1"/>
    <w:rsid w:val="0047390A"/>
    <w:rsid w:val="0047774F"/>
    <w:rsid w:val="00482998"/>
    <w:rsid w:val="00487C2F"/>
    <w:rsid w:val="00492724"/>
    <w:rsid w:val="00492DFC"/>
    <w:rsid w:val="004B2751"/>
    <w:rsid w:val="004B618A"/>
    <w:rsid w:val="004C334B"/>
    <w:rsid w:val="004D41E5"/>
    <w:rsid w:val="00500048"/>
    <w:rsid w:val="00523F10"/>
    <w:rsid w:val="0053134C"/>
    <w:rsid w:val="00531EED"/>
    <w:rsid w:val="0053768F"/>
    <w:rsid w:val="00546B85"/>
    <w:rsid w:val="0055138C"/>
    <w:rsid w:val="00554FD4"/>
    <w:rsid w:val="00576F19"/>
    <w:rsid w:val="005838DC"/>
    <w:rsid w:val="005857E0"/>
    <w:rsid w:val="0058643C"/>
    <w:rsid w:val="00591EF2"/>
    <w:rsid w:val="005B2774"/>
    <w:rsid w:val="005C1379"/>
    <w:rsid w:val="005C6665"/>
    <w:rsid w:val="005D3AF5"/>
    <w:rsid w:val="005E31DA"/>
    <w:rsid w:val="005F5C15"/>
    <w:rsid w:val="00605505"/>
    <w:rsid w:val="00607557"/>
    <w:rsid w:val="006140AA"/>
    <w:rsid w:val="00625FB4"/>
    <w:rsid w:val="00626178"/>
    <w:rsid w:val="006340E4"/>
    <w:rsid w:val="006364AA"/>
    <w:rsid w:val="00636AE5"/>
    <w:rsid w:val="00664D85"/>
    <w:rsid w:val="00665FC3"/>
    <w:rsid w:val="0068181D"/>
    <w:rsid w:val="006831D8"/>
    <w:rsid w:val="00687C73"/>
    <w:rsid w:val="00692EE7"/>
    <w:rsid w:val="0069415E"/>
    <w:rsid w:val="006A281A"/>
    <w:rsid w:val="006B47FF"/>
    <w:rsid w:val="006C2B22"/>
    <w:rsid w:val="006C31EC"/>
    <w:rsid w:val="006D3A78"/>
    <w:rsid w:val="006D5C2B"/>
    <w:rsid w:val="006D7766"/>
    <w:rsid w:val="006E1E55"/>
    <w:rsid w:val="006E235B"/>
    <w:rsid w:val="006F0213"/>
    <w:rsid w:val="006F7362"/>
    <w:rsid w:val="00702B77"/>
    <w:rsid w:val="00711DBE"/>
    <w:rsid w:val="00715AAA"/>
    <w:rsid w:val="007227B4"/>
    <w:rsid w:val="00785356"/>
    <w:rsid w:val="007972D5"/>
    <w:rsid w:val="007A227F"/>
    <w:rsid w:val="007B50D3"/>
    <w:rsid w:val="007B6FF3"/>
    <w:rsid w:val="007C4835"/>
    <w:rsid w:val="007C5302"/>
    <w:rsid w:val="007E27EE"/>
    <w:rsid w:val="007E6F64"/>
    <w:rsid w:val="00822267"/>
    <w:rsid w:val="008222A4"/>
    <w:rsid w:val="00822761"/>
    <w:rsid w:val="00835411"/>
    <w:rsid w:val="00837ECF"/>
    <w:rsid w:val="008477D4"/>
    <w:rsid w:val="008478BB"/>
    <w:rsid w:val="008516E5"/>
    <w:rsid w:val="008634AE"/>
    <w:rsid w:val="00875E46"/>
    <w:rsid w:val="008820D7"/>
    <w:rsid w:val="00885170"/>
    <w:rsid w:val="0088699F"/>
    <w:rsid w:val="00891D42"/>
    <w:rsid w:val="008A1428"/>
    <w:rsid w:val="008A41C8"/>
    <w:rsid w:val="008B540E"/>
    <w:rsid w:val="008D0570"/>
    <w:rsid w:val="008D1268"/>
    <w:rsid w:val="008D2C4E"/>
    <w:rsid w:val="008F4164"/>
    <w:rsid w:val="00925B5E"/>
    <w:rsid w:val="009273DF"/>
    <w:rsid w:val="00932967"/>
    <w:rsid w:val="009471E1"/>
    <w:rsid w:val="00947592"/>
    <w:rsid w:val="009529CE"/>
    <w:rsid w:val="00954709"/>
    <w:rsid w:val="009571CF"/>
    <w:rsid w:val="0096008A"/>
    <w:rsid w:val="00962775"/>
    <w:rsid w:val="009628D9"/>
    <w:rsid w:val="00962CEA"/>
    <w:rsid w:val="00963D9D"/>
    <w:rsid w:val="00964BE9"/>
    <w:rsid w:val="00970853"/>
    <w:rsid w:val="00984B84"/>
    <w:rsid w:val="0099011B"/>
    <w:rsid w:val="009A4F9D"/>
    <w:rsid w:val="009B48ED"/>
    <w:rsid w:val="009B6461"/>
    <w:rsid w:val="009C3AA8"/>
    <w:rsid w:val="009C3BBB"/>
    <w:rsid w:val="009C485E"/>
    <w:rsid w:val="009C7878"/>
    <w:rsid w:val="009D3F31"/>
    <w:rsid w:val="009E0421"/>
    <w:rsid w:val="009E1968"/>
    <w:rsid w:val="009E2F0A"/>
    <w:rsid w:val="009E4130"/>
    <w:rsid w:val="009F0014"/>
    <w:rsid w:val="00A03A6D"/>
    <w:rsid w:val="00A21C20"/>
    <w:rsid w:val="00A26954"/>
    <w:rsid w:val="00A3134D"/>
    <w:rsid w:val="00A41160"/>
    <w:rsid w:val="00A45180"/>
    <w:rsid w:val="00A5474A"/>
    <w:rsid w:val="00A55556"/>
    <w:rsid w:val="00A724B5"/>
    <w:rsid w:val="00A8715B"/>
    <w:rsid w:val="00A902DB"/>
    <w:rsid w:val="00A90DCD"/>
    <w:rsid w:val="00A96696"/>
    <w:rsid w:val="00AA0779"/>
    <w:rsid w:val="00AA413E"/>
    <w:rsid w:val="00AA70D5"/>
    <w:rsid w:val="00AB223E"/>
    <w:rsid w:val="00AB387C"/>
    <w:rsid w:val="00AC024F"/>
    <w:rsid w:val="00AD618E"/>
    <w:rsid w:val="00AF47E2"/>
    <w:rsid w:val="00AF7F27"/>
    <w:rsid w:val="00B00173"/>
    <w:rsid w:val="00B004ED"/>
    <w:rsid w:val="00B05D3B"/>
    <w:rsid w:val="00B0664A"/>
    <w:rsid w:val="00B1037D"/>
    <w:rsid w:val="00B170A0"/>
    <w:rsid w:val="00B401B8"/>
    <w:rsid w:val="00B50052"/>
    <w:rsid w:val="00B545A1"/>
    <w:rsid w:val="00B633DE"/>
    <w:rsid w:val="00B64C7C"/>
    <w:rsid w:val="00B81C95"/>
    <w:rsid w:val="00BA5499"/>
    <w:rsid w:val="00BB11BF"/>
    <w:rsid w:val="00BB2F04"/>
    <w:rsid w:val="00BB62AF"/>
    <w:rsid w:val="00BD6009"/>
    <w:rsid w:val="00BE5C4D"/>
    <w:rsid w:val="00BE5DCE"/>
    <w:rsid w:val="00BF12C9"/>
    <w:rsid w:val="00C02299"/>
    <w:rsid w:val="00C102AE"/>
    <w:rsid w:val="00C103EC"/>
    <w:rsid w:val="00C1542F"/>
    <w:rsid w:val="00C27EB4"/>
    <w:rsid w:val="00C308B2"/>
    <w:rsid w:val="00C34B4B"/>
    <w:rsid w:val="00C359F2"/>
    <w:rsid w:val="00C53D7E"/>
    <w:rsid w:val="00C54377"/>
    <w:rsid w:val="00C54A72"/>
    <w:rsid w:val="00C57FE9"/>
    <w:rsid w:val="00C675E8"/>
    <w:rsid w:val="00C80D91"/>
    <w:rsid w:val="00C82CB9"/>
    <w:rsid w:val="00C9274B"/>
    <w:rsid w:val="00C97800"/>
    <w:rsid w:val="00CB104B"/>
    <w:rsid w:val="00CB2344"/>
    <w:rsid w:val="00CB3BA5"/>
    <w:rsid w:val="00CB5101"/>
    <w:rsid w:val="00CC0ADB"/>
    <w:rsid w:val="00CC2653"/>
    <w:rsid w:val="00CD316E"/>
    <w:rsid w:val="00CD65FE"/>
    <w:rsid w:val="00CE62BF"/>
    <w:rsid w:val="00CF4367"/>
    <w:rsid w:val="00D04D8A"/>
    <w:rsid w:val="00D05E81"/>
    <w:rsid w:val="00D11083"/>
    <w:rsid w:val="00D122C9"/>
    <w:rsid w:val="00D12352"/>
    <w:rsid w:val="00D14EA3"/>
    <w:rsid w:val="00D33985"/>
    <w:rsid w:val="00D43793"/>
    <w:rsid w:val="00D6765A"/>
    <w:rsid w:val="00D77E0C"/>
    <w:rsid w:val="00D84A98"/>
    <w:rsid w:val="00D97C99"/>
    <w:rsid w:val="00DA7CF6"/>
    <w:rsid w:val="00DB111C"/>
    <w:rsid w:val="00DC0F72"/>
    <w:rsid w:val="00DC1F79"/>
    <w:rsid w:val="00DD2AA6"/>
    <w:rsid w:val="00E01ECC"/>
    <w:rsid w:val="00E038FE"/>
    <w:rsid w:val="00E053DF"/>
    <w:rsid w:val="00E11CF4"/>
    <w:rsid w:val="00E14AF7"/>
    <w:rsid w:val="00E2767D"/>
    <w:rsid w:val="00E30F83"/>
    <w:rsid w:val="00E33E8A"/>
    <w:rsid w:val="00E664FC"/>
    <w:rsid w:val="00E74F3A"/>
    <w:rsid w:val="00E8054B"/>
    <w:rsid w:val="00E90460"/>
    <w:rsid w:val="00E91CE6"/>
    <w:rsid w:val="00E93346"/>
    <w:rsid w:val="00EA7B3F"/>
    <w:rsid w:val="00EB584B"/>
    <w:rsid w:val="00ED4F85"/>
    <w:rsid w:val="00EE3F16"/>
    <w:rsid w:val="00EF6D60"/>
    <w:rsid w:val="00F053EB"/>
    <w:rsid w:val="00F062FE"/>
    <w:rsid w:val="00F07DB2"/>
    <w:rsid w:val="00F35970"/>
    <w:rsid w:val="00F37358"/>
    <w:rsid w:val="00F425D2"/>
    <w:rsid w:val="00F440AE"/>
    <w:rsid w:val="00F44DA6"/>
    <w:rsid w:val="00F456CF"/>
    <w:rsid w:val="00F52664"/>
    <w:rsid w:val="00F64EB1"/>
    <w:rsid w:val="00F65A15"/>
    <w:rsid w:val="00F67692"/>
    <w:rsid w:val="00F8177E"/>
    <w:rsid w:val="00F85151"/>
    <w:rsid w:val="00F87261"/>
    <w:rsid w:val="00F907F5"/>
    <w:rsid w:val="00F9113A"/>
    <w:rsid w:val="00F93E20"/>
    <w:rsid w:val="00F94FA1"/>
    <w:rsid w:val="00F96CEA"/>
    <w:rsid w:val="00FC203E"/>
    <w:rsid w:val="00FC6C6D"/>
    <w:rsid w:val="00FD0415"/>
    <w:rsid w:val="00FD1E72"/>
    <w:rsid w:val="00FD7603"/>
    <w:rsid w:val="00FE692A"/>
    <w:rsid w:val="00FE75E5"/>
    <w:rsid w:val="00FF5F6D"/>
    <w:rsid w:val="00FF7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3C833CC-A40D-468D-BD7E-D3AC69E18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56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0D9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857E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57E0"/>
    <w:rPr>
      <w:rFonts w:ascii="Segoe UI" w:hAnsi="Segoe UI" w:cs="Segoe UI"/>
      <w:sz w:val="18"/>
      <w:szCs w:val="18"/>
      <w:lang w:val="bg-BG"/>
    </w:rPr>
  </w:style>
  <w:style w:type="paragraph" w:styleId="Header">
    <w:name w:val="header"/>
    <w:basedOn w:val="Normal"/>
    <w:link w:val="HeaderChar"/>
    <w:unhideWhenUsed/>
    <w:rsid w:val="00492DFC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rsid w:val="00492DFC"/>
    <w:rPr>
      <w:lang w:val="bg-BG"/>
    </w:rPr>
  </w:style>
  <w:style w:type="paragraph" w:styleId="Footer">
    <w:name w:val="footer"/>
    <w:basedOn w:val="Normal"/>
    <w:link w:val="FooterChar"/>
    <w:uiPriority w:val="99"/>
    <w:unhideWhenUsed/>
    <w:rsid w:val="00492DFC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2DFC"/>
    <w:rPr>
      <w:lang w:val="bg-BG"/>
    </w:rPr>
  </w:style>
  <w:style w:type="paragraph" w:styleId="NormalWeb">
    <w:name w:val="Normal (Web)"/>
    <w:basedOn w:val="Normal"/>
    <w:uiPriority w:val="99"/>
    <w:semiHidden/>
    <w:unhideWhenUsed/>
    <w:rsid w:val="000017CD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Hyperlink">
    <w:name w:val="Hyperlink"/>
    <w:basedOn w:val="DefaultParagraphFont"/>
    <w:uiPriority w:val="99"/>
    <w:unhideWhenUsed/>
    <w:rsid w:val="006C31EC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C31EC"/>
    <w:pPr>
      <w:ind w:left="0"/>
      <w:jc w:val="left"/>
    </w:pPr>
    <w:rPr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C31E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C31E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7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0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6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6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0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77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2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0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2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23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7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4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1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9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hart" Target="charts/chart5.xml"/><Relationship Id="rId5" Type="http://schemas.openxmlformats.org/officeDocument/2006/relationships/footnotes" Target="footnotes.xml"/><Relationship Id="rId10" Type="http://schemas.openxmlformats.org/officeDocument/2006/relationships/chart" Target="charts/chart4.xml"/><Relationship Id="rId4" Type="http://schemas.openxmlformats.org/officeDocument/2006/relationships/webSettings" Target="webSettings.xml"/><Relationship Id="rId9" Type="http://schemas.openxmlformats.org/officeDocument/2006/relationships/chart" Target="charts/chart3.xml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560Kutina\Desktop\&#1052;&#1048;&#1050;&#1057;&#1048;\&#1074;&#1085;&#1086;&#1089;%20&#1080;&#1079;&#1085;&#1086;&#1089;%20&#1050;&#1086;&#1076;&#1086;&#1074;&#1077;_razd44_2008-2023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560Kutina\Desktop\&#1052;&#1048;&#1050;&#1057;&#1048;\&#1074;&#1085;&#1086;&#1089;%20&#1080;&#1079;&#1085;&#1086;&#1089;%20&#1050;&#1086;&#1076;&#1086;&#1074;&#1077;_razd44_2008-2023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560Kutina\Desktop\&#1052;&#1048;&#1050;&#1057;&#1048;\&#1074;&#1085;&#1086;&#1089;%20&#1080;&#1079;&#1085;&#1086;&#1089;%20&#1050;&#1086;&#1076;&#1086;&#1074;&#1077;_razd44_2008-2023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560Kutina\Desktop\&#1052;&#1048;&#1050;&#1057;&#1048;\&#1074;&#1085;&#1086;&#1089;%20&#1080;&#1079;&#1085;&#1086;&#1089;%20&#1050;&#1086;&#1076;&#1086;&#1074;&#1077;_razd44_2008-2023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560Kutina\Desktop\&#1052;&#1048;&#1050;&#1057;&#1048;\1&#1057;&#1088;.%20&#1094;&#1077;&#1085;&#1080;%20&#1087;&#1086;%20&#1082;&#1072;&#1090;&#1077;&#1075;&#1086;&#1088;&#1080;&#1080;%20&#1079;&#1072;%202017-2023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3273584371711917"/>
          <c:y val="0.10598471464454914"/>
          <c:w val="0.66726415628288083"/>
          <c:h val="0.73658711684175726"/>
        </c:manualLayout>
      </c:layout>
      <c:lineChart>
        <c:grouping val="standard"/>
        <c:varyColors val="0"/>
        <c:ser>
          <c:idx val="0"/>
          <c:order val="0"/>
          <c:tx>
            <c:strRef>
              <c:f>'износ_2008-2023,кг,тон, куб. м.'!$A$8</c:f>
              <c:strCache>
                <c:ptCount val="1"/>
                <c:pt idx="0">
                  <c:v>44 ДЪРВЕН МАТЕРИАЛ в тон</c:v>
                </c:pt>
              </c:strCache>
            </c:strRef>
          </c:tx>
          <c:spPr>
            <a:ln w="3175" cap="rnd">
              <a:solidFill>
                <a:srgbClr val="FF0000"/>
              </a:solidFill>
              <a:prstDash val="solid"/>
              <a:round/>
            </a:ln>
            <a:effectLst/>
          </c:spPr>
          <c:marker>
            <c:symbol val="none"/>
          </c:marker>
          <c:cat>
            <c:numRef>
              <c:f>'износ_2008-2023,кг,тон, куб. м.'!$B$3:$Q$3</c:f>
              <c:numCache>
                <c:formatCode>General</c:formatCode>
                <c:ptCount val="16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  <c:pt idx="4">
                  <c:v>2012</c:v>
                </c:pt>
                <c:pt idx="5">
                  <c:v>2013</c:v>
                </c:pt>
                <c:pt idx="6">
                  <c:v>2014</c:v>
                </c:pt>
                <c:pt idx="7">
                  <c:v>2015</c:v>
                </c:pt>
                <c:pt idx="8">
                  <c:v>2016</c:v>
                </c:pt>
                <c:pt idx="9">
                  <c:v>2017</c:v>
                </c:pt>
                <c:pt idx="10">
                  <c:v>2018</c:v>
                </c:pt>
                <c:pt idx="11">
                  <c:v>2019</c:v>
                </c:pt>
                <c:pt idx="12">
                  <c:v>2020</c:v>
                </c:pt>
                <c:pt idx="13">
                  <c:v>2021</c:v>
                </c:pt>
                <c:pt idx="14">
                  <c:v>2022</c:v>
                </c:pt>
                <c:pt idx="15">
                  <c:v>2023</c:v>
                </c:pt>
              </c:numCache>
            </c:numRef>
          </c:cat>
          <c:val>
            <c:numRef>
              <c:f>'износ_2008-2023,кг,тон, куб. м.'!$B$8:$Q$8</c:f>
              <c:numCache>
                <c:formatCode>#,##0</c:formatCode>
                <c:ptCount val="16"/>
                <c:pt idx="0">
                  <c:v>768761.71681599994</c:v>
                </c:pt>
                <c:pt idx="1">
                  <c:v>863097.63847000001</c:v>
                </c:pt>
                <c:pt idx="2">
                  <c:v>1201327.1218089999</c:v>
                </c:pt>
                <c:pt idx="3">
                  <c:v>1519185.1803239998</c:v>
                </c:pt>
                <c:pt idx="4">
                  <c:v>1566475.3125999998</c:v>
                </c:pt>
                <c:pt idx="5">
                  <c:v>1403818.731838</c:v>
                </c:pt>
                <c:pt idx="6">
                  <c:v>1918229.7045520002</c:v>
                </c:pt>
                <c:pt idx="7">
                  <c:v>1575158.5459050001</c:v>
                </c:pt>
                <c:pt idx="8">
                  <c:v>1208852.7794319999</c:v>
                </c:pt>
                <c:pt idx="9">
                  <c:v>1304356.8361240001</c:v>
                </c:pt>
                <c:pt idx="10">
                  <c:v>1094038.5240840001</c:v>
                </c:pt>
                <c:pt idx="11">
                  <c:v>1056389.8881870001</c:v>
                </c:pt>
                <c:pt idx="12">
                  <c:v>1018690.644725</c:v>
                </c:pt>
                <c:pt idx="13">
                  <c:v>1091492.5995499999</c:v>
                </c:pt>
                <c:pt idx="14">
                  <c:v>840005.26599100011</c:v>
                </c:pt>
                <c:pt idx="15">
                  <c:v>707381.21545599995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'износ_2008-2023,кг,тон, куб. м.'!$A$9</c:f>
              <c:strCache>
                <c:ptCount val="1"/>
                <c:pt idx="0">
                  <c:v>4401 Дърва за горене под формата на трупчета в тон</c:v>
                </c:pt>
              </c:strCache>
            </c:strRef>
          </c:tx>
          <c:spPr>
            <a:ln w="31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dLbl>
              <c:idx val="6"/>
              <c:layout>
                <c:manualLayout>
                  <c:x val="-0.19033417469620831"/>
                  <c:y val="-0.11703936481426341"/>
                </c:manualLayout>
              </c:layout>
              <c:tx>
                <c:rich>
                  <a:bodyPr rot="0" spcFirstLastPara="1" vertOverflow="clip" horzOverflow="clip" vert="horz" wrap="square" lIns="36576" tIns="18288" rIns="36576" bIns="18288" anchor="ctr" anchorCtr="1">
                    <a:spAutoFit/>
                  </a:bodyPr>
                  <a:lstStyle/>
                  <a:p>
                    <a:pPr>
                      <a:defRPr sz="5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bg-BG"/>
                      <a:t>износ на дървени материали по код 4401 за </a:t>
                    </a:r>
                    <a:fld id="{CA91F3C2-D84F-4177-8504-1D93AA748425}" type="CATEGORYNAME">
                      <a:rPr lang="en-US"/>
                      <a:pPr>
                        <a:defRPr/>
                      </a:pPr>
                      <a:t>[CATEGORY NAME]</a:t>
                    </a:fld>
                    <a:r>
                      <a:rPr lang="en-US"/>
                      <a:t> г. </a:t>
                    </a:r>
                    <a:fld id="{8C90406A-B256-437C-8535-8E5BEE5B0117}" type="VALUE">
                      <a:rPr lang="en-US"/>
                      <a:pPr>
                        <a:defRPr/>
                      </a:pPr>
                      <a:t>[VALUE]</a:t>
                    </a:fld>
                    <a:r>
                      <a:rPr lang="en-US"/>
                      <a:t> тона</a:t>
                    </a:r>
                  </a:p>
                </c:rich>
              </c:tx>
              <c:spPr>
                <a:solidFill>
                  <a:sysClr val="window" lastClr="FFFFFF"/>
                </a:solidFill>
                <a:ln>
                  <a:solidFill>
                    <a:srgbClr val="ED7D31"/>
                  </a:solidFill>
                </a:ln>
                <a:effectLst/>
              </c:spPr>
              <c:txPr>
                <a:bodyPr rot="0" spcFirstLastPara="1" vertOverflow="clip" horzOverflow="clip" vert="horz" wrap="square" lIns="36576" tIns="18288" rIns="36576" bIns="18288" anchor="ctr" anchorCtr="1">
                  <a:spAutoFit/>
                </a:bodyPr>
                <a:lstStyle/>
                <a:p>
                  <a:pPr>
                    <a:defRPr sz="5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bg-BG"/>
                </a:p>
              </c:txPr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14346003045915556"/>
                      <c:h val="0.13969995780823574"/>
                    </c:manualLayout>
                  </c15:layout>
                  <c15:dlblFieldTable/>
                  <c15:showDataLabelsRange val="0"/>
                </c:ext>
              </c:extLst>
            </c:dLbl>
            <c:spPr>
              <a:solidFill>
                <a:sysClr val="window" lastClr="FFFFFF"/>
              </a:solidFill>
              <a:ln>
                <a:solidFill>
                  <a:srgbClr val="ED7D31"/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5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bg-BG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  <c15:showLeaderLines val="0"/>
              </c:ext>
            </c:extLst>
          </c:dLbls>
          <c:cat>
            <c:numRef>
              <c:f>'износ_2008-2023,кг,тон, куб. м.'!$B$3:$Q$3</c:f>
              <c:numCache>
                <c:formatCode>General</c:formatCode>
                <c:ptCount val="16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  <c:pt idx="4">
                  <c:v>2012</c:v>
                </c:pt>
                <c:pt idx="5">
                  <c:v>2013</c:v>
                </c:pt>
                <c:pt idx="6">
                  <c:v>2014</c:v>
                </c:pt>
                <c:pt idx="7">
                  <c:v>2015</c:v>
                </c:pt>
                <c:pt idx="8">
                  <c:v>2016</c:v>
                </c:pt>
                <c:pt idx="9">
                  <c:v>2017</c:v>
                </c:pt>
                <c:pt idx="10">
                  <c:v>2018</c:v>
                </c:pt>
                <c:pt idx="11">
                  <c:v>2019</c:v>
                </c:pt>
                <c:pt idx="12">
                  <c:v>2020</c:v>
                </c:pt>
                <c:pt idx="13">
                  <c:v>2021</c:v>
                </c:pt>
                <c:pt idx="14">
                  <c:v>2022</c:v>
                </c:pt>
                <c:pt idx="15">
                  <c:v>2023</c:v>
                </c:pt>
              </c:numCache>
            </c:numRef>
          </c:cat>
          <c:val>
            <c:numRef>
              <c:f>'износ_2008-2023,кг,тон, куб. м.'!$B$9:$Q$9</c:f>
              <c:numCache>
                <c:formatCode>#,##0</c:formatCode>
                <c:ptCount val="16"/>
                <c:pt idx="0">
                  <c:v>109143.34052</c:v>
                </c:pt>
                <c:pt idx="1">
                  <c:v>97215.592260000005</c:v>
                </c:pt>
                <c:pt idx="2">
                  <c:v>219217.23234000002</c:v>
                </c:pt>
                <c:pt idx="3">
                  <c:v>406802.00033000001</c:v>
                </c:pt>
                <c:pt idx="4">
                  <c:v>497597.11670000001</c:v>
                </c:pt>
                <c:pt idx="5">
                  <c:v>472300.01005000004</c:v>
                </c:pt>
                <c:pt idx="6">
                  <c:v>720670.74323000002</c:v>
                </c:pt>
                <c:pt idx="7">
                  <c:v>652756.03629999992</c:v>
                </c:pt>
                <c:pt idx="8">
                  <c:v>413568.13764999999</c:v>
                </c:pt>
                <c:pt idx="9">
                  <c:v>523058.43229000003</c:v>
                </c:pt>
                <c:pt idx="10">
                  <c:v>405247.77737999998</c:v>
                </c:pt>
                <c:pt idx="11">
                  <c:v>404585.76831999997</c:v>
                </c:pt>
                <c:pt idx="12">
                  <c:v>319400.33160000003</c:v>
                </c:pt>
                <c:pt idx="13">
                  <c:v>277221.47380000004</c:v>
                </c:pt>
                <c:pt idx="14">
                  <c:v>205286.28574000002</c:v>
                </c:pt>
                <c:pt idx="15">
                  <c:v>151211.97558000003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'износ_2008-2023,кг,тон, куб. м.'!$A$10</c:f>
              <c:strCache>
                <c:ptCount val="1"/>
                <c:pt idx="0">
                  <c:v>4403 Необработен дървен материал в тон</c:v>
                </c:pt>
              </c:strCache>
            </c:strRef>
          </c:tx>
          <c:spPr>
            <a:ln w="3175" cap="rnd">
              <a:solidFill>
                <a:srgbClr val="92D050"/>
              </a:solidFill>
              <a:round/>
            </a:ln>
            <a:effectLst/>
          </c:spPr>
          <c:marker>
            <c:symbol val="none"/>
          </c:marker>
          <c:dLbls>
            <c:dLbl>
              <c:idx val="6"/>
              <c:layout>
                <c:manualLayout>
                  <c:x val="6.569157367226891E-2"/>
                  <c:y val="-0.1631632582018181"/>
                </c:manualLayout>
              </c:layout>
              <c:tx>
                <c:rich>
                  <a:bodyPr rot="0" spcFirstLastPara="1" vertOverflow="clip" horzOverflow="clip" vert="horz" wrap="square" lIns="36576" tIns="18288" rIns="36576" bIns="18288" anchor="ctr" anchorCtr="1">
                    <a:spAutoFit/>
                  </a:bodyPr>
                  <a:lstStyle/>
                  <a:p>
                    <a:pPr>
                      <a:defRPr sz="5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bg-BG"/>
                      <a:t>износ на дървени матерали по код 4403 за </a:t>
                    </a:r>
                    <a:fld id="{018485C9-3E55-48B2-AF37-7ED2A8701F57}" type="CATEGORYNAME">
                      <a:rPr lang="en-US"/>
                      <a:pPr>
                        <a:defRPr/>
                      </a:pPr>
                      <a:t>[CATEGORY NAME]</a:t>
                    </a:fld>
                    <a:r>
                      <a:rPr lang="en-US"/>
                      <a:t> г. </a:t>
                    </a:r>
                    <a:fld id="{A9A5D3CC-4183-4FDE-8E5E-55462066B14E}" type="VALUE">
                      <a:rPr lang="en-US"/>
                      <a:pPr>
                        <a:defRPr/>
                      </a:pPr>
                      <a:t>[VALUE]</a:t>
                    </a:fld>
                    <a:r>
                      <a:rPr lang="en-US"/>
                      <a:t> тона</a:t>
                    </a:r>
                  </a:p>
                  <a:p>
                    <a:pPr>
                      <a:defRPr/>
                    </a:pPr>
                    <a:endParaRPr lang="bg-BG"/>
                  </a:p>
                </c:rich>
              </c:tx>
              <c:spPr>
                <a:solidFill>
                  <a:sysClr val="window" lastClr="FFFFFF"/>
                </a:solidFill>
                <a:ln>
                  <a:solidFill>
                    <a:srgbClr val="92D050"/>
                  </a:solidFill>
                </a:ln>
                <a:effectLst/>
              </c:spPr>
              <c:txPr>
                <a:bodyPr rot="0" spcFirstLastPara="1" vertOverflow="clip" horzOverflow="clip" vert="horz" wrap="square" lIns="36576" tIns="18288" rIns="36576" bIns="18288" anchor="ctr" anchorCtr="1">
                  <a:spAutoFit/>
                </a:bodyPr>
                <a:lstStyle/>
                <a:p>
                  <a:pPr>
                    <a:defRPr sz="5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bg-BG"/>
                </a:p>
              </c:txPr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16537593294665323"/>
                      <c:h val="9.6627329225718817E-2"/>
                    </c:manualLayout>
                  </c15:layout>
                  <c15:dlblFieldTable/>
                  <c15:showDataLabelsRange val="0"/>
                </c:ext>
              </c:extLst>
            </c:dLbl>
            <c:spPr>
              <a:solidFill>
                <a:sysClr val="window" lastClr="FFFFFF"/>
              </a:solidFill>
              <a:ln>
                <a:solidFill>
                  <a:srgbClr val="92D050"/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5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bg-BG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  <c15:showLeaderLines val="0"/>
              </c:ext>
            </c:extLst>
          </c:dLbls>
          <c:cat>
            <c:numRef>
              <c:f>'износ_2008-2023,кг,тон, куб. м.'!$B$3:$Q$3</c:f>
              <c:numCache>
                <c:formatCode>General</c:formatCode>
                <c:ptCount val="16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  <c:pt idx="4">
                  <c:v>2012</c:v>
                </c:pt>
                <c:pt idx="5">
                  <c:v>2013</c:v>
                </c:pt>
                <c:pt idx="6">
                  <c:v>2014</c:v>
                </c:pt>
                <c:pt idx="7">
                  <c:v>2015</c:v>
                </c:pt>
                <c:pt idx="8">
                  <c:v>2016</c:v>
                </c:pt>
                <c:pt idx="9">
                  <c:v>2017</c:v>
                </c:pt>
                <c:pt idx="10">
                  <c:v>2018</c:v>
                </c:pt>
                <c:pt idx="11">
                  <c:v>2019</c:v>
                </c:pt>
                <c:pt idx="12">
                  <c:v>2020</c:v>
                </c:pt>
                <c:pt idx="13">
                  <c:v>2021</c:v>
                </c:pt>
                <c:pt idx="14">
                  <c:v>2022</c:v>
                </c:pt>
                <c:pt idx="15">
                  <c:v>2023</c:v>
                </c:pt>
              </c:numCache>
            </c:numRef>
          </c:cat>
          <c:val>
            <c:numRef>
              <c:f>'износ_2008-2023,кг,тон, куб. м.'!$B$10:$Q$10</c:f>
              <c:numCache>
                <c:formatCode>#,##0</c:formatCode>
                <c:ptCount val="16"/>
                <c:pt idx="0">
                  <c:v>247063.54699999999</c:v>
                </c:pt>
                <c:pt idx="1">
                  <c:v>203386.633</c:v>
                </c:pt>
                <c:pt idx="2">
                  <c:v>423306.20850000001</c:v>
                </c:pt>
                <c:pt idx="3">
                  <c:v>411955.45435000001</c:v>
                </c:pt>
                <c:pt idx="4">
                  <c:v>415624.39152999996</c:v>
                </c:pt>
                <c:pt idx="5">
                  <c:v>246898.68737</c:v>
                </c:pt>
                <c:pt idx="6">
                  <c:v>493903.35076</c:v>
                </c:pt>
                <c:pt idx="7">
                  <c:v>200139.25519999999</c:v>
                </c:pt>
                <c:pt idx="8">
                  <c:v>161938.91916999998</c:v>
                </c:pt>
                <c:pt idx="9">
                  <c:v>152928.43862999999</c:v>
                </c:pt>
                <c:pt idx="10">
                  <c:v>148151.0778</c:v>
                </c:pt>
                <c:pt idx="11">
                  <c:v>91902.478860000003</c:v>
                </c:pt>
                <c:pt idx="12">
                  <c:v>80771.761859999999</c:v>
                </c:pt>
                <c:pt idx="13">
                  <c:v>59347.144</c:v>
                </c:pt>
                <c:pt idx="14">
                  <c:v>20111.511440000002</c:v>
                </c:pt>
                <c:pt idx="15">
                  <c:v>11322.035199999998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'износ_2008-2023,кг,тон, куб. м.'!$A$11</c:f>
              <c:strCache>
                <c:ptCount val="1"/>
                <c:pt idx="0">
                  <c:v>4401+4403</c:v>
                </c:pt>
              </c:strCache>
            </c:strRef>
          </c:tx>
          <c:spPr>
            <a:ln w="3175" cap="rnd">
              <a:solidFill>
                <a:schemeClr val="tx1"/>
              </a:solidFill>
              <a:prstDash val="dash"/>
              <a:round/>
            </a:ln>
            <a:effectLst/>
          </c:spPr>
          <c:marker>
            <c:symbol val="none"/>
          </c:marker>
          <c:dLbls>
            <c:dLbl>
              <c:idx val="0"/>
              <c:layout>
                <c:manualLayout>
                  <c:x val="-1.3746296116277647E-2"/>
                  <c:y val="-0.49538774587384127"/>
                </c:manualLayout>
              </c:layout>
              <c:tx>
                <c:rich>
                  <a:bodyPr rot="0" spcFirstLastPara="1" vertOverflow="clip" horzOverflow="clip" vert="horz" wrap="square" lIns="36576" tIns="18288" rIns="36576" bIns="18288" anchor="ctr" anchorCtr="1">
                    <a:spAutoFit/>
                  </a:bodyPr>
                  <a:lstStyle/>
                  <a:p>
                    <a:pPr>
                      <a:defRPr sz="5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bg-BG"/>
                      <a:t>износ на дървени материали общо по код –(4401 +4403) за </a:t>
                    </a:r>
                    <a:fld id="{47B94A22-E9C3-476D-B216-D7B68EE0FA25}" type="CATEGORYNAME">
                      <a:rPr lang="en-US"/>
                      <a:pPr>
                        <a:defRPr/>
                      </a:pPr>
                      <a:t>[CATEGORY NAME]</a:t>
                    </a:fld>
                    <a:r>
                      <a:rPr lang="en-US"/>
                      <a:t> г.; </a:t>
                    </a:r>
                    <a:fld id="{96212CFD-01BE-4520-AAA0-F55E52F0A50B}" type="VALUE">
                      <a:rPr lang="en-US"/>
                      <a:pPr>
                        <a:defRPr/>
                      </a:pPr>
                      <a:t>[VALUE]</a:t>
                    </a:fld>
                    <a:r>
                      <a:rPr lang="en-US"/>
                      <a:t> тона</a:t>
                    </a:r>
                  </a:p>
                </c:rich>
              </c:tx>
              <c:spPr>
                <a:solidFill>
                  <a:sysClr val="window" lastClr="FFFFFF"/>
                </a:solidFill>
                <a:ln>
                  <a:solidFill>
                    <a:sysClr val="windowText" lastClr="000000"/>
                  </a:solidFill>
                </a:ln>
                <a:effectLst/>
              </c:spPr>
              <c:txPr>
                <a:bodyPr rot="0" spcFirstLastPara="1" vertOverflow="clip" horzOverflow="clip" vert="horz" wrap="square" lIns="36576" tIns="18288" rIns="36576" bIns="18288" anchor="ctr" anchorCtr="1">
                  <a:spAutoFit/>
                </a:bodyPr>
                <a:lstStyle/>
                <a:p>
                  <a:pPr>
                    <a:defRPr sz="5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bg-BG"/>
                </a:p>
              </c:txPr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14581093001234927"/>
                      <c:h val="0.16268895056442609"/>
                    </c:manualLayout>
                  </c15:layout>
                  <c15:dlblFieldTable/>
                  <c15:showDataLabelsRange val="0"/>
                </c:ext>
              </c:extLst>
            </c:dLbl>
            <c:dLbl>
              <c:idx val="6"/>
              <c:layout>
                <c:manualLayout>
                  <c:x val="2.0329477742726955E-2"/>
                  <c:y val="-0.20807013294693325"/>
                </c:manualLayout>
              </c:layout>
              <c:tx>
                <c:rich>
                  <a:bodyPr rot="0" spcFirstLastPara="1" vertOverflow="clip" horzOverflow="clip" vert="horz" wrap="square" lIns="36576" tIns="18288" rIns="36576" bIns="18288" anchor="ctr" anchorCtr="1">
                    <a:spAutoFit/>
                  </a:bodyPr>
                  <a:lstStyle/>
                  <a:p>
                    <a:pPr>
                      <a:defRPr sz="5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bg-BG"/>
                      <a:t>износ на дървени материали общо по код (4401 +4403) за 2014 г.; </a:t>
                    </a:r>
                    <a:fld id="{F0584D26-1AB2-483F-AD7B-120D3CB03401}" type="VALUE">
                      <a:rPr lang="en-US"/>
                      <a:pPr>
                        <a:defRPr/>
                      </a:pPr>
                      <a:t>[VALUE]</a:t>
                    </a:fld>
                    <a:r>
                      <a:rPr lang="en-US"/>
                      <a:t> тона</a:t>
                    </a:r>
                  </a:p>
                </c:rich>
              </c:tx>
              <c:spPr>
                <a:solidFill>
                  <a:sysClr val="window" lastClr="FFFFFF"/>
                </a:solidFill>
                <a:ln>
                  <a:solidFill>
                    <a:sysClr val="windowText" lastClr="000000"/>
                  </a:solidFill>
                </a:ln>
                <a:effectLst/>
              </c:spPr>
              <c:txPr>
                <a:bodyPr rot="0" spcFirstLastPara="1" vertOverflow="clip" horzOverflow="clip" vert="horz" wrap="square" lIns="36576" tIns="18288" rIns="36576" bIns="18288" anchor="ctr" anchorCtr="1">
                  <a:spAutoFit/>
                </a:bodyPr>
                <a:lstStyle/>
                <a:p>
                  <a:pPr>
                    <a:defRPr sz="5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bg-BG"/>
                </a:p>
              </c:txPr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14391945486309479"/>
                      <c:h val="0.15997298746144795"/>
                    </c:manualLayout>
                  </c15:layout>
                  <c15:dlblFieldTable/>
                  <c15:showDataLabelsRange val="0"/>
                </c:ext>
              </c:extLst>
            </c:dLbl>
            <c:spPr>
              <a:solidFill>
                <a:sysClr val="window" lastClr="FFFFFF"/>
              </a:solidFill>
              <a:ln>
                <a:solidFill>
                  <a:sysClr val="windowText" lastClr="000000"/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5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bg-BG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  <c15:showLeaderLines val="0"/>
              </c:ext>
            </c:extLst>
          </c:dLbls>
          <c:cat>
            <c:numRef>
              <c:f>'износ_2008-2023,кг,тон, куб. м.'!$B$3:$Q$3</c:f>
              <c:numCache>
                <c:formatCode>General</c:formatCode>
                <c:ptCount val="16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  <c:pt idx="4">
                  <c:v>2012</c:v>
                </c:pt>
                <c:pt idx="5">
                  <c:v>2013</c:v>
                </c:pt>
                <c:pt idx="6">
                  <c:v>2014</c:v>
                </c:pt>
                <c:pt idx="7">
                  <c:v>2015</c:v>
                </c:pt>
                <c:pt idx="8">
                  <c:v>2016</c:v>
                </c:pt>
                <c:pt idx="9">
                  <c:v>2017</c:v>
                </c:pt>
                <c:pt idx="10">
                  <c:v>2018</c:v>
                </c:pt>
                <c:pt idx="11">
                  <c:v>2019</c:v>
                </c:pt>
                <c:pt idx="12">
                  <c:v>2020</c:v>
                </c:pt>
                <c:pt idx="13">
                  <c:v>2021</c:v>
                </c:pt>
                <c:pt idx="14">
                  <c:v>2022</c:v>
                </c:pt>
                <c:pt idx="15">
                  <c:v>2023</c:v>
                </c:pt>
              </c:numCache>
            </c:numRef>
          </c:cat>
          <c:val>
            <c:numRef>
              <c:f>'износ_2008-2023,кг,тон, куб. м.'!$B$11:$Q$11</c:f>
              <c:numCache>
                <c:formatCode>#,##0</c:formatCode>
                <c:ptCount val="16"/>
                <c:pt idx="0">
                  <c:v>356206.88751999999</c:v>
                </c:pt>
                <c:pt idx="1">
                  <c:v>300602.22525999998</c:v>
                </c:pt>
                <c:pt idx="2">
                  <c:v>642523.44084000005</c:v>
                </c:pt>
                <c:pt idx="3">
                  <c:v>818757.45468000008</c:v>
                </c:pt>
                <c:pt idx="4">
                  <c:v>913221.50823000004</c:v>
                </c:pt>
                <c:pt idx="5">
                  <c:v>719198.6974200001</c:v>
                </c:pt>
                <c:pt idx="6">
                  <c:v>1214574.09399</c:v>
                </c:pt>
                <c:pt idx="7">
                  <c:v>852895.29150000005</c:v>
                </c:pt>
                <c:pt idx="8">
                  <c:v>575507.05681999994</c:v>
                </c:pt>
                <c:pt idx="9">
                  <c:v>675986.87092000013</c:v>
                </c:pt>
                <c:pt idx="10">
                  <c:v>553398.85518000007</c:v>
                </c:pt>
                <c:pt idx="11">
                  <c:v>496488.24718000001</c:v>
                </c:pt>
                <c:pt idx="12">
                  <c:v>400172.09346000006</c:v>
                </c:pt>
                <c:pt idx="13">
                  <c:v>336568.61780000001</c:v>
                </c:pt>
                <c:pt idx="14">
                  <c:v>225397.79717999999</c:v>
                </c:pt>
                <c:pt idx="15">
                  <c:v>162534.01078000001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385881696"/>
        <c:axId val="-385876800"/>
      </c:lineChart>
      <c:catAx>
        <c:axId val="-385881696"/>
        <c:scaling>
          <c:orientation val="minMax"/>
        </c:scaling>
        <c:delete val="0"/>
        <c:axPos val="b"/>
        <c:title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5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bg-BG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5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bg-BG"/>
          </a:p>
        </c:txPr>
        <c:crossAx val="-385876800"/>
        <c:crosses val="autoZero"/>
        <c:auto val="1"/>
        <c:lblAlgn val="ctr"/>
        <c:lblOffset val="100"/>
        <c:noMultiLvlLbl val="0"/>
      </c:catAx>
      <c:valAx>
        <c:axId val="-3858768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7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bg-BG" sz="700" b="1"/>
                  <a:t>тон</a:t>
                </a:r>
                <a:endParaRPr lang="en-US" sz="700" b="1"/>
              </a:p>
            </c:rich>
          </c:tx>
          <c:layout>
            <c:manualLayout>
              <c:xMode val="edge"/>
              <c:yMode val="edge"/>
              <c:x val="2.0784619381657574E-2"/>
              <c:y val="0.362208133074274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7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bg-BG"/>
            </a:p>
          </c:txPr>
        </c:title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1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bg-BG"/>
          </a:p>
        </c:txPr>
        <c:crossAx val="-385881696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600" b="0" i="1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bg-BG"/>
          </a:p>
        </c:txPr>
      </c:dTable>
      <c:spPr>
        <a:noFill/>
        <a:ln w="25400"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500">
          <a:latin typeface="+mn-lt"/>
        </a:defRPr>
      </a:pPr>
      <a:endParaRPr lang="bg-BG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2759190815433786"/>
          <c:y val="3.6192147535810223E-2"/>
          <c:w val="0.67240809184566219"/>
          <c:h val="0.78878596140705404"/>
        </c:manualLayout>
      </c:layout>
      <c:lineChart>
        <c:grouping val="standard"/>
        <c:varyColors val="0"/>
        <c:ser>
          <c:idx val="0"/>
          <c:order val="0"/>
          <c:tx>
            <c:strRef>
              <c:f>'внос_2008-2023,кг.,тон, куб.м.'!$A$10</c:f>
              <c:strCache>
                <c:ptCount val="1"/>
                <c:pt idx="0">
                  <c:v>44 ДЪРВЕН МАТЕРИАЛ - тон</c:v>
                </c:pt>
              </c:strCache>
            </c:strRef>
          </c:tx>
          <c:spPr>
            <a:ln w="3175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cat>
            <c:numRef>
              <c:f>'внос_2008-2023,кг.,тон, куб.м.'!$B$4:$Q$4</c:f>
              <c:numCache>
                <c:formatCode>General</c:formatCode>
                <c:ptCount val="16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  <c:pt idx="4">
                  <c:v>2012</c:v>
                </c:pt>
                <c:pt idx="5">
                  <c:v>2013</c:v>
                </c:pt>
                <c:pt idx="6">
                  <c:v>2014</c:v>
                </c:pt>
                <c:pt idx="7">
                  <c:v>2015</c:v>
                </c:pt>
                <c:pt idx="8">
                  <c:v>2016</c:v>
                </c:pt>
                <c:pt idx="9">
                  <c:v>2017</c:v>
                </c:pt>
                <c:pt idx="10">
                  <c:v>2018</c:v>
                </c:pt>
                <c:pt idx="11">
                  <c:v>2019</c:v>
                </c:pt>
                <c:pt idx="12">
                  <c:v>2020</c:v>
                </c:pt>
                <c:pt idx="13">
                  <c:v>2021</c:v>
                </c:pt>
                <c:pt idx="14">
                  <c:v>2022</c:v>
                </c:pt>
                <c:pt idx="15">
                  <c:v>2023</c:v>
                </c:pt>
              </c:numCache>
            </c:numRef>
          </c:cat>
          <c:val>
            <c:numRef>
              <c:f>'внос_2008-2023,кг.,тон, куб.м.'!$B$10:$Q$10</c:f>
              <c:numCache>
                <c:formatCode>#,##0</c:formatCode>
                <c:ptCount val="16"/>
                <c:pt idx="0">
                  <c:v>476313.92014600005</c:v>
                </c:pt>
                <c:pt idx="1">
                  <c:v>276264.32312999998</c:v>
                </c:pt>
                <c:pt idx="2">
                  <c:v>229630.30607399999</c:v>
                </c:pt>
                <c:pt idx="3">
                  <c:v>248499.00691299999</c:v>
                </c:pt>
                <c:pt idx="4">
                  <c:v>311289.492555</c:v>
                </c:pt>
                <c:pt idx="5">
                  <c:v>272933.83516100002</c:v>
                </c:pt>
                <c:pt idx="6">
                  <c:v>282775.39952600002</c:v>
                </c:pt>
                <c:pt idx="7">
                  <c:v>317936.29191700002</c:v>
                </c:pt>
                <c:pt idx="8">
                  <c:v>368947.58885900001</c:v>
                </c:pt>
                <c:pt idx="9">
                  <c:v>367860.320374</c:v>
                </c:pt>
                <c:pt idx="10">
                  <c:v>418470.85031699995</c:v>
                </c:pt>
                <c:pt idx="11">
                  <c:v>483965.24894700001</c:v>
                </c:pt>
                <c:pt idx="12">
                  <c:v>452431.43428600003</c:v>
                </c:pt>
                <c:pt idx="13">
                  <c:v>551182.46734099998</c:v>
                </c:pt>
                <c:pt idx="14">
                  <c:v>705509.99892599997</c:v>
                </c:pt>
                <c:pt idx="15">
                  <c:v>538486.96022899996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'внос_2008-2023,кг.,тон, куб.м.'!$A$11</c:f>
              <c:strCache>
                <c:ptCount val="1"/>
                <c:pt idx="0">
                  <c:v>4401 Дърва за горене под формата на трупчета - тон</c:v>
                </c:pt>
              </c:strCache>
            </c:strRef>
          </c:tx>
          <c:spPr>
            <a:ln w="6350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dLbl>
              <c:idx val="14"/>
              <c:layout>
                <c:manualLayout>
                  <c:x val="-0.16066669518894697"/>
                  <c:y val="-0.11167116704002913"/>
                </c:manualLayout>
              </c:layout>
              <c:tx>
                <c:rich>
                  <a:bodyPr rot="0" spcFirstLastPara="1" vertOverflow="clip" horzOverflow="clip" vert="horz" wrap="square" lIns="36576" tIns="18288" rIns="36576" bIns="18288" anchor="ctr" anchorCtr="1">
                    <a:spAutoFit/>
                  </a:bodyPr>
                  <a:lstStyle/>
                  <a:p>
                    <a:pPr>
                      <a:defRPr sz="6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bg-BG"/>
                      <a:t>внос на дърва за горене по код 4401 за 2022 г.; </a:t>
                    </a:r>
                    <a:fld id="{453A0995-4372-4A1A-80C1-BD6A07C58502}" type="VALUE">
                      <a:rPr lang="en-US"/>
                      <a:pPr>
                        <a:defRPr/>
                      </a:pPr>
                      <a:t>[VALUE]</a:t>
                    </a:fld>
                    <a:r>
                      <a:rPr lang="en-US"/>
                      <a:t> тона</a:t>
                    </a:r>
                  </a:p>
                </c:rich>
              </c:tx>
              <c:spPr>
                <a:solidFill>
                  <a:sysClr val="window" lastClr="FFFFFF"/>
                </a:solidFill>
                <a:ln>
                  <a:solidFill>
                    <a:srgbClr val="ED7D31"/>
                  </a:solidFill>
                </a:ln>
                <a:effectLst/>
              </c:spPr>
              <c:txPr>
                <a:bodyPr rot="0" spcFirstLastPara="1" vertOverflow="clip" horzOverflow="clip" vert="horz" wrap="square" lIns="36576" tIns="18288" rIns="36576" bIns="18288" anchor="ctr" anchorCtr="1">
                  <a:spAutoFit/>
                </a:bodyPr>
                <a:lstStyle/>
                <a:p>
                  <a:pPr>
                    <a:defRPr sz="6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bg-BG"/>
                </a:p>
              </c:txPr>
              <c:dLblPos val="r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11248378279139977"/>
                      <c:h val="0.16430072575447641"/>
                    </c:manualLayout>
                  </c15:layout>
                  <c15:dlblFieldTable/>
                  <c15:showDataLabelsRange val="0"/>
                </c:ext>
              </c:extLst>
            </c:dLbl>
            <c:spPr>
              <a:noFill/>
              <a:ln>
                <a:solidFill>
                  <a:schemeClr val="accent2"/>
                </a:solidFill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6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bg-BG"/>
              </a:p>
            </c:txPr>
            <c:dLblPos val="t"/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'внос_2008-2023,кг.,тон, куб.м.'!$B$4:$Q$4</c:f>
              <c:numCache>
                <c:formatCode>General</c:formatCode>
                <c:ptCount val="16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  <c:pt idx="4">
                  <c:v>2012</c:v>
                </c:pt>
                <c:pt idx="5">
                  <c:v>2013</c:v>
                </c:pt>
                <c:pt idx="6">
                  <c:v>2014</c:v>
                </c:pt>
                <c:pt idx="7">
                  <c:v>2015</c:v>
                </c:pt>
                <c:pt idx="8">
                  <c:v>2016</c:v>
                </c:pt>
                <c:pt idx="9">
                  <c:v>2017</c:v>
                </c:pt>
                <c:pt idx="10">
                  <c:v>2018</c:v>
                </c:pt>
                <c:pt idx="11">
                  <c:v>2019</c:v>
                </c:pt>
                <c:pt idx="12">
                  <c:v>2020</c:v>
                </c:pt>
                <c:pt idx="13">
                  <c:v>2021</c:v>
                </c:pt>
                <c:pt idx="14">
                  <c:v>2022</c:v>
                </c:pt>
                <c:pt idx="15">
                  <c:v>2023</c:v>
                </c:pt>
              </c:numCache>
            </c:numRef>
          </c:cat>
          <c:val>
            <c:numRef>
              <c:f>'внос_2008-2023,кг.,тон, куб.м.'!$B$11:$Q$11</c:f>
              <c:numCache>
                <c:formatCode>#,##0</c:formatCode>
                <c:ptCount val="16"/>
                <c:pt idx="0">
                  <c:v>7085.77837</c:v>
                </c:pt>
                <c:pt idx="1">
                  <c:v>4311.4977900000004</c:v>
                </c:pt>
                <c:pt idx="2">
                  <c:v>3528.39572</c:v>
                </c:pt>
                <c:pt idx="3">
                  <c:v>12806.656438</c:v>
                </c:pt>
                <c:pt idx="4">
                  <c:v>34785.776130000006</c:v>
                </c:pt>
                <c:pt idx="5">
                  <c:v>15461.686589999999</c:v>
                </c:pt>
                <c:pt idx="6">
                  <c:v>23330.439190000001</c:v>
                </c:pt>
                <c:pt idx="7">
                  <c:v>50535.381569999998</c:v>
                </c:pt>
                <c:pt idx="8">
                  <c:v>62158.740180000001</c:v>
                </c:pt>
                <c:pt idx="9">
                  <c:v>36530.458359999997</c:v>
                </c:pt>
                <c:pt idx="10">
                  <c:v>51650.154569999999</c:v>
                </c:pt>
                <c:pt idx="11">
                  <c:v>88716.580579999994</c:v>
                </c:pt>
                <c:pt idx="12">
                  <c:v>100899.36943999999</c:v>
                </c:pt>
                <c:pt idx="13">
                  <c:v>139270.44788999998</c:v>
                </c:pt>
                <c:pt idx="14">
                  <c:v>170981.64726</c:v>
                </c:pt>
                <c:pt idx="15">
                  <c:v>85473.760273000007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'внос_2008-2023,кг.,тон, куб.м.'!$A$12</c:f>
              <c:strCache>
                <c:ptCount val="1"/>
                <c:pt idx="0">
                  <c:v>4403 Необработен дървен материал - тон</c:v>
                </c:pt>
              </c:strCache>
            </c:strRef>
          </c:tx>
          <c:spPr>
            <a:ln w="6350" cap="rnd">
              <a:solidFill>
                <a:srgbClr val="92D050"/>
              </a:solidFill>
              <a:round/>
            </a:ln>
            <a:effectLst/>
          </c:spPr>
          <c:marker>
            <c:symbol val="none"/>
          </c:marker>
          <c:dLbls>
            <c:dLbl>
              <c:idx val="0"/>
              <c:layout>
                <c:manualLayout>
                  <c:x val="2.8014713556808367E-2"/>
                  <c:y val="-0.28237697877013201"/>
                </c:manualLayout>
              </c:layout>
              <c:tx>
                <c:rich>
                  <a:bodyPr rot="0" spcFirstLastPara="1" vertOverflow="clip" horzOverflow="clip" vert="horz" wrap="square" lIns="36576" tIns="18288" rIns="36576" bIns="18288" anchor="ctr" anchorCtr="1">
                    <a:spAutoFit/>
                  </a:bodyPr>
                  <a:lstStyle/>
                  <a:p>
                    <a:pPr>
                      <a:defRPr sz="6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bg-BG"/>
                      <a:t>внос на необработен дървен материал по код 4403 за 2008 г.; </a:t>
                    </a:r>
                    <a:fld id="{A1FDCB51-893A-485B-812C-8707D4C763A2}" type="VALUE">
                      <a:rPr lang="en-US"/>
                      <a:pPr>
                        <a:defRPr/>
                      </a:pPr>
                      <a:t>[VALUE]</a:t>
                    </a:fld>
                    <a:r>
                      <a:rPr lang="en-US"/>
                      <a:t> тона</a:t>
                    </a:r>
                  </a:p>
                </c:rich>
              </c:tx>
              <c:spPr>
                <a:solidFill>
                  <a:sysClr val="window" lastClr="FFFFFF"/>
                </a:solidFill>
                <a:ln>
                  <a:solidFill>
                    <a:srgbClr val="92D050"/>
                  </a:solidFill>
                </a:ln>
                <a:effectLst/>
              </c:spPr>
              <c:txPr>
                <a:bodyPr rot="0" spcFirstLastPara="1" vertOverflow="clip" horzOverflow="clip" vert="horz" wrap="square" lIns="36576" tIns="18288" rIns="36576" bIns="18288" anchor="ctr" anchorCtr="1">
                  <a:spAutoFit/>
                </a:bodyPr>
                <a:lstStyle/>
                <a:p>
                  <a:pPr>
                    <a:defRPr sz="6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bg-BG"/>
                </a:p>
              </c:txPr>
              <c:dLblPos val="r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14275801239130823"/>
                      <c:h val="0.1464811490909726"/>
                    </c:manualLayout>
                  </c15:layout>
                  <c15:dlblFieldTable/>
                  <c15:showDataLabelsRange val="0"/>
                </c:ext>
              </c:extLst>
            </c:dLbl>
            <c:dLbl>
              <c:idx val="14"/>
              <c:layout>
                <c:manualLayout>
                  <c:x val="-0.31369750209795205"/>
                  <c:y val="-0.10752437587859576"/>
                </c:manualLayout>
              </c:layout>
              <c:tx>
                <c:rich>
                  <a:bodyPr rot="0" spcFirstLastPara="1" vertOverflow="clip" horzOverflow="clip" vert="horz" wrap="square" lIns="36576" tIns="18288" rIns="36576" bIns="18288" anchor="ctr" anchorCtr="1">
                    <a:spAutoFit/>
                  </a:bodyPr>
                  <a:lstStyle/>
                  <a:p>
                    <a:pPr>
                      <a:defRPr sz="6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bg-BG"/>
                      <a:t>внос на необработен дървен материал по код 4403 за </a:t>
                    </a:r>
                    <a:fld id="{C3A9EE08-1915-4432-B433-3F978477EB02}" type="CATEGORYNAME">
                      <a:rPr lang="en-US"/>
                      <a:pPr>
                        <a:defRPr/>
                      </a:pPr>
                      <a:t>[CATEGORY NAME]</a:t>
                    </a:fld>
                    <a:r>
                      <a:rPr lang="en-US"/>
                      <a:t>; г. </a:t>
                    </a:r>
                    <a:fld id="{9266B5CB-DC3B-4DE0-A1E0-B521BDA9B7FF}" type="VALUE">
                      <a:rPr lang="en-US"/>
                      <a:pPr>
                        <a:defRPr/>
                      </a:pPr>
                      <a:t>[VALUE]</a:t>
                    </a:fld>
                    <a:r>
                      <a:rPr lang="en-US"/>
                      <a:t> тона</a:t>
                    </a:r>
                  </a:p>
                </c:rich>
              </c:tx>
              <c:spPr>
                <a:solidFill>
                  <a:sysClr val="window" lastClr="FFFFFF"/>
                </a:solidFill>
                <a:ln>
                  <a:solidFill>
                    <a:srgbClr val="92D050"/>
                  </a:solidFill>
                </a:ln>
                <a:effectLst/>
              </c:spPr>
              <c:txPr>
                <a:bodyPr rot="0" spcFirstLastPara="1" vertOverflow="clip" horzOverflow="clip" vert="horz" wrap="square" lIns="36576" tIns="18288" rIns="36576" bIns="18288" anchor="ctr" anchorCtr="1">
                  <a:spAutoFit/>
                </a:bodyPr>
                <a:lstStyle/>
                <a:p>
                  <a:pPr>
                    <a:defRPr sz="6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bg-BG"/>
                </a:p>
              </c:txPr>
              <c:dLblPos val="r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14994097888023064"/>
                      <c:h val="0.14457402789064178"/>
                    </c:manualLayout>
                  </c15:layout>
                  <c15:dlblFieldTable/>
                  <c15:showDataLabelsRange val="0"/>
                </c:ext>
              </c:extLst>
            </c:dLbl>
            <c:spPr>
              <a:noFill/>
              <a:ln>
                <a:solidFill>
                  <a:srgbClr val="92D050"/>
                </a:solidFill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6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bg-BG"/>
              </a:p>
            </c:txPr>
            <c:dLblPos val="t"/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'внос_2008-2023,кг.,тон, куб.м.'!$B$4:$Q$4</c:f>
              <c:numCache>
                <c:formatCode>General</c:formatCode>
                <c:ptCount val="16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  <c:pt idx="4">
                  <c:v>2012</c:v>
                </c:pt>
                <c:pt idx="5">
                  <c:v>2013</c:v>
                </c:pt>
                <c:pt idx="6">
                  <c:v>2014</c:v>
                </c:pt>
                <c:pt idx="7">
                  <c:v>2015</c:v>
                </c:pt>
                <c:pt idx="8">
                  <c:v>2016</c:v>
                </c:pt>
                <c:pt idx="9">
                  <c:v>2017</c:v>
                </c:pt>
                <c:pt idx="10">
                  <c:v>2018</c:v>
                </c:pt>
                <c:pt idx="11">
                  <c:v>2019</c:v>
                </c:pt>
                <c:pt idx="12">
                  <c:v>2020</c:v>
                </c:pt>
                <c:pt idx="13">
                  <c:v>2021</c:v>
                </c:pt>
                <c:pt idx="14">
                  <c:v>2022</c:v>
                </c:pt>
                <c:pt idx="15">
                  <c:v>2023</c:v>
                </c:pt>
              </c:numCache>
            </c:numRef>
          </c:cat>
          <c:val>
            <c:numRef>
              <c:f>'внос_2008-2023,кг.,тон, куб.м.'!$B$12:$Q$12</c:f>
              <c:numCache>
                <c:formatCode>#,##0</c:formatCode>
                <c:ptCount val="16"/>
                <c:pt idx="0">
                  <c:v>147670.18709999998</c:v>
                </c:pt>
                <c:pt idx="1">
                  <c:v>31787.066159999998</c:v>
                </c:pt>
                <c:pt idx="2">
                  <c:v>29011.043382</c:v>
                </c:pt>
                <c:pt idx="3">
                  <c:v>38891.489460000004</c:v>
                </c:pt>
                <c:pt idx="4">
                  <c:v>39396.070270000004</c:v>
                </c:pt>
                <c:pt idx="5">
                  <c:v>29247.407760000002</c:v>
                </c:pt>
                <c:pt idx="6">
                  <c:v>22008.62456</c:v>
                </c:pt>
                <c:pt idx="7">
                  <c:v>10072.121999999999</c:v>
                </c:pt>
                <c:pt idx="8">
                  <c:v>8135.576</c:v>
                </c:pt>
                <c:pt idx="9">
                  <c:v>6981.6917100000001</c:v>
                </c:pt>
                <c:pt idx="10">
                  <c:v>9660.4103300000006</c:v>
                </c:pt>
                <c:pt idx="11">
                  <c:v>10033.01729</c:v>
                </c:pt>
                <c:pt idx="12">
                  <c:v>9299.1185000000005</c:v>
                </c:pt>
                <c:pt idx="13">
                  <c:v>27278.796739999998</c:v>
                </c:pt>
                <c:pt idx="14">
                  <c:v>54050.113420000001</c:v>
                </c:pt>
                <c:pt idx="15">
                  <c:v>38026.501929999999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'внос_2008-2023,кг.,тон, куб.м.'!$A$13</c:f>
              <c:strCache>
                <c:ptCount val="1"/>
                <c:pt idx="0">
                  <c:v>внос по код (4401+4403) - тон</c:v>
                </c:pt>
              </c:strCache>
            </c:strRef>
          </c:tx>
          <c:spPr>
            <a:ln w="3175" cap="rnd">
              <a:solidFill>
                <a:schemeClr val="tx1"/>
              </a:solidFill>
              <a:prstDash val="dash"/>
              <a:round/>
            </a:ln>
            <a:effectLst/>
          </c:spPr>
          <c:marker>
            <c:symbol val="none"/>
          </c:marker>
          <c:dLbls>
            <c:dLbl>
              <c:idx val="14"/>
              <c:layout>
                <c:manualLayout>
                  <c:x val="-1.1144614972721314E-2"/>
                  <c:y val="-0.21347493966810499"/>
                </c:manualLayout>
              </c:layout>
              <c:tx>
                <c:rich>
                  <a:bodyPr rot="0" spcFirstLastPara="1" vertOverflow="clip" horzOverflow="clip" vert="horz" wrap="square" lIns="36576" tIns="18288" rIns="36576" bIns="18288" anchor="ctr" anchorCtr="1">
                    <a:spAutoFit/>
                  </a:bodyPr>
                  <a:lstStyle/>
                  <a:p>
                    <a:pPr>
                      <a:defRPr sz="6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bg-BG"/>
                      <a:t>внос на дървени материали общо по код (4401 + 4403)  </a:t>
                    </a:r>
                    <a:fld id="{92782441-524E-41F9-8862-53C2316CCA9B}" type="CATEGORYNAME">
                      <a:rPr lang="en-US"/>
                      <a:pPr>
                        <a:defRPr/>
                      </a:pPr>
                      <a:t>[CATEGORY NAME]</a:t>
                    </a:fld>
                    <a:r>
                      <a:rPr lang="en-US"/>
                      <a:t> г; </a:t>
                    </a:r>
                    <a:fld id="{E79A478A-9C59-4E05-8B5E-B507A9F34D76}" type="VALUE">
                      <a:rPr lang="en-US"/>
                      <a:pPr>
                        <a:defRPr/>
                      </a:pPr>
                      <a:t>[VALUE]</a:t>
                    </a:fld>
                    <a:r>
                      <a:rPr lang="en-US"/>
                      <a:t> тона</a:t>
                    </a:r>
                  </a:p>
                  <a:p>
                    <a:pPr>
                      <a:defRPr/>
                    </a:pPr>
                    <a:endParaRPr lang="bg-BG"/>
                  </a:p>
                </c:rich>
              </c:tx>
              <c:spPr>
                <a:solidFill>
                  <a:sysClr val="window" lastClr="FFFFFF"/>
                </a:solidFill>
                <a:ln>
                  <a:solidFill>
                    <a:sysClr val="windowText" lastClr="000000"/>
                  </a:solidFill>
                </a:ln>
                <a:effectLst/>
              </c:spPr>
              <c:txPr>
                <a:bodyPr rot="0" spcFirstLastPara="1" vertOverflow="clip" horzOverflow="clip" vert="horz" wrap="square" lIns="36576" tIns="18288" rIns="36576" bIns="18288" anchor="ctr" anchorCtr="1">
                  <a:spAutoFit/>
                </a:bodyPr>
                <a:lstStyle/>
                <a:p>
                  <a:pPr>
                    <a:defRPr sz="6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bg-BG"/>
                </a:p>
              </c:txPr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14404970807220524"/>
                      <c:h val="0.17967123909844046"/>
                    </c:manualLayout>
                  </c15:layout>
                  <c15:dlblFieldTable/>
                  <c15:showDataLabelsRange val="0"/>
                </c:ext>
              </c:extLst>
            </c:dLbl>
            <c:spPr>
              <a:solidFill>
                <a:sysClr val="window" lastClr="FFFFFF"/>
              </a:solidFill>
              <a:ln>
                <a:solidFill>
                  <a:sysClr val="windowText" lastClr="000000"/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6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bg-BG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  <c15:showLeaderLines val="0"/>
              </c:ext>
            </c:extLst>
          </c:dLbls>
          <c:cat>
            <c:numRef>
              <c:f>'внос_2008-2023,кг.,тон, куб.м.'!$B$4:$Q$4</c:f>
              <c:numCache>
                <c:formatCode>General</c:formatCode>
                <c:ptCount val="16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  <c:pt idx="4">
                  <c:v>2012</c:v>
                </c:pt>
                <c:pt idx="5">
                  <c:v>2013</c:v>
                </c:pt>
                <c:pt idx="6">
                  <c:v>2014</c:v>
                </c:pt>
                <c:pt idx="7">
                  <c:v>2015</c:v>
                </c:pt>
                <c:pt idx="8">
                  <c:v>2016</c:v>
                </c:pt>
                <c:pt idx="9">
                  <c:v>2017</c:v>
                </c:pt>
                <c:pt idx="10">
                  <c:v>2018</c:v>
                </c:pt>
                <c:pt idx="11">
                  <c:v>2019</c:v>
                </c:pt>
                <c:pt idx="12">
                  <c:v>2020</c:v>
                </c:pt>
                <c:pt idx="13">
                  <c:v>2021</c:v>
                </c:pt>
                <c:pt idx="14">
                  <c:v>2022</c:v>
                </c:pt>
                <c:pt idx="15">
                  <c:v>2023</c:v>
                </c:pt>
              </c:numCache>
            </c:numRef>
          </c:cat>
          <c:val>
            <c:numRef>
              <c:f>'внос_2008-2023,кг.,тон, куб.м.'!$B$13:$Q$13</c:f>
              <c:numCache>
                <c:formatCode>#,##0</c:formatCode>
                <c:ptCount val="16"/>
                <c:pt idx="0">
                  <c:v>154755.96547</c:v>
                </c:pt>
                <c:pt idx="1">
                  <c:v>36098.563950000003</c:v>
                </c:pt>
                <c:pt idx="2">
                  <c:v>32539.439101999997</c:v>
                </c:pt>
                <c:pt idx="3">
                  <c:v>51698.145898000002</c:v>
                </c:pt>
                <c:pt idx="4">
                  <c:v>74181.846400000009</c:v>
                </c:pt>
                <c:pt idx="5">
                  <c:v>44709.094349999999</c:v>
                </c:pt>
                <c:pt idx="6">
                  <c:v>45339.063750000001</c:v>
                </c:pt>
                <c:pt idx="7">
                  <c:v>60607.503570000001</c:v>
                </c:pt>
                <c:pt idx="8">
                  <c:v>70294.316180000009</c:v>
                </c:pt>
                <c:pt idx="9">
                  <c:v>43512.150070000003</c:v>
                </c:pt>
                <c:pt idx="10">
                  <c:v>61310.564899999998</c:v>
                </c:pt>
                <c:pt idx="11">
                  <c:v>98749.597869999998</c:v>
                </c:pt>
                <c:pt idx="12">
                  <c:v>110198.48793999999</c:v>
                </c:pt>
                <c:pt idx="13">
                  <c:v>166549.24463</c:v>
                </c:pt>
                <c:pt idx="14">
                  <c:v>225031.76068000001</c:v>
                </c:pt>
                <c:pt idx="15">
                  <c:v>123500.26220300001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385872448"/>
        <c:axId val="-385885504"/>
      </c:lineChart>
      <c:catAx>
        <c:axId val="-38587244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bg-BG"/>
          </a:p>
        </c:txPr>
        <c:crossAx val="-385885504"/>
        <c:crosses val="autoZero"/>
        <c:auto val="1"/>
        <c:lblAlgn val="ctr"/>
        <c:lblOffset val="100"/>
        <c:noMultiLvlLbl val="0"/>
      </c:catAx>
      <c:valAx>
        <c:axId val="-3858855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6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bg-BG" b="1"/>
                  <a:t>ТОН </a:t>
                </a:r>
                <a:endParaRPr lang="en-US" b="1"/>
              </a:p>
            </c:rich>
          </c:tx>
          <c:layout>
            <c:manualLayout>
              <c:xMode val="edge"/>
              <c:yMode val="edge"/>
              <c:x val="1.9954648526077097E-2"/>
              <c:y val="0.319239587564033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6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bg-BG"/>
            </a:p>
          </c:txPr>
        </c:title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1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bg-BG"/>
          </a:p>
        </c:txPr>
        <c:crossAx val="-385872448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bg-BG"/>
          </a:p>
        </c:txPr>
      </c:dTable>
      <c:spPr>
        <a:noFill/>
        <a:ln w="9525"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600"/>
      </a:pPr>
      <a:endParaRPr lang="bg-BG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'внос_2008-2023,кг.,тон, куб.м.'!$A$32</c:f>
              <c:strCache>
                <c:ptCount val="1"/>
                <c:pt idx="0">
                  <c:v>износ 4403  в тон</c:v>
                </c:pt>
              </c:strCache>
            </c:strRef>
          </c:tx>
          <c:spPr>
            <a:ln w="9525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dLbls>
            <c:dLbl>
              <c:idx val="14"/>
              <c:layout>
                <c:manualLayout>
                  <c:x val="-0.21076436001809137"/>
                  <c:y val="-0.20079099496476233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6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bg-BG"/>
                      <a:t>внос</a:t>
                    </a:r>
                    <a:r>
                      <a:rPr lang="bg-BG" baseline="0"/>
                      <a:t> </a:t>
                    </a:r>
                    <a:fld id="{A21381BF-5565-4CFE-A872-60B246BAD5E5}" type="CATEGORYNAME">
                      <a:rPr lang="en-US"/>
                      <a:pPr>
                        <a:defRPr/>
                      </a:pPr>
                      <a:t>[CATEGORY NAME]</a:t>
                    </a:fld>
                    <a:r>
                      <a:rPr lang="en-US" baseline="0"/>
                      <a:t>; </a:t>
                    </a:r>
                    <a:fld id="{2DF58C8F-5836-4F2F-A40B-9A93100240F7}" type="VALUE">
                      <a:rPr lang="en-US" baseline="0"/>
                      <a:pPr>
                        <a:defRPr/>
                      </a:pPr>
                      <a:t>[VALUE]</a:t>
                    </a:fld>
                    <a:r>
                      <a:rPr lang="en-US" baseline="0"/>
                      <a:t> тона</a:t>
                    </a:r>
                  </a:p>
                </c:rich>
              </c:tx>
              <c:spPr>
                <a:solidFill>
                  <a:sysClr val="window" lastClr="FFFFFF"/>
                </a:solidFill>
                <a:ln>
                  <a:solidFill>
                    <a:srgbClr val="FF0000"/>
                  </a:solidFill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6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bg-BG"/>
                </a:p>
              </c:txPr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10911113722724958"/>
                      <c:h val="0.11630141354977518"/>
                    </c:manualLayout>
                  </c15:layout>
                  <c15:dlblFieldTable/>
                  <c15:showDataLabelsRange val="0"/>
                </c:ext>
              </c:extLst>
            </c:dLbl>
            <c:dLbl>
              <c:idx val="15"/>
              <c:layout>
                <c:manualLayout>
                  <c:x val="-0.24061510628674809"/>
                  <c:y val="-5.82633622022641E-2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6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bg-BG"/>
                      <a:t>внос </a:t>
                    </a:r>
                    <a:fld id="{8D60D3B1-015B-45EB-A6F4-51CB8C26C0DA}" type="CATEGORYNAME">
                      <a:rPr lang="en-US"/>
                      <a:pPr>
                        <a:defRPr/>
                      </a:pPr>
                      <a:t>[CATEGORY NAME]</a:t>
                    </a:fld>
                    <a:r>
                      <a:rPr lang="en-US" baseline="0"/>
                      <a:t>; </a:t>
                    </a:r>
                    <a:fld id="{2CC02B8B-0D99-4857-94DF-215D58D85CEF}" type="VALUE">
                      <a:rPr lang="en-US" baseline="0"/>
                      <a:pPr>
                        <a:defRPr/>
                      </a:pPr>
                      <a:t>[VALUE]</a:t>
                    </a:fld>
                    <a:r>
                      <a:rPr lang="en-US" baseline="0"/>
                      <a:t> тона</a:t>
                    </a:r>
                  </a:p>
                </c:rich>
              </c:tx>
              <c:spPr>
                <a:solidFill>
                  <a:sysClr val="window" lastClr="FFFFFF"/>
                </a:solidFill>
                <a:ln>
                  <a:solidFill>
                    <a:srgbClr val="FF0000"/>
                  </a:solidFill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6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bg-BG"/>
                </a:p>
              </c:txPr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1181568179147213"/>
                      <c:h val="0.11138745278061007"/>
                    </c:manualLayout>
                  </c15:layout>
                  <c15:dlblFieldTable/>
                  <c15:showDataLabelsRange val="0"/>
                </c:ext>
              </c:extLst>
            </c:dLbl>
            <c:spPr>
              <a:solidFill>
                <a:sysClr val="window" lastClr="FFFFFF"/>
              </a:solidFill>
              <a:ln>
                <a:solidFill>
                  <a:srgbClr val="FF0000"/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6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bg-BG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  <c15:showLeaderLines val="0"/>
              </c:ext>
            </c:extLst>
          </c:dLbls>
          <c:cat>
            <c:numRef>
              <c:f>'внос_2008-2023,кг.,тон, куб.м.'!$B$4:$Q$4</c:f>
              <c:numCache>
                <c:formatCode>General</c:formatCode>
                <c:ptCount val="16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  <c:pt idx="4">
                  <c:v>2012</c:v>
                </c:pt>
                <c:pt idx="5">
                  <c:v>2013</c:v>
                </c:pt>
                <c:pt idx="6">
                  <c:v>2014</c:v>
                </c:pt>
                <c:pt idx="7">
                  <c:v>2015</c:v>
                </c:pt>
                <c:pt idx="8">
                  <c:v>2016</c:v>
                </c:pt>
                <c:pt idx="9">
                  <c:v>2017</c:v>
                </c:pt>
                <c:pt idx="10">
                  <c:v>2018</c:v>
                </c:pt>
                <c:pt idx="11">
                  <c:v>2019</c:v>
                </c:pt>
                <c:pt idx="12">
                  <c:v>2020</c:v>
                </c:pt>
                <c:pt idx="13">
                  <c:v>2021</c:v>
                </c:pt>
                <c:pt idx="14">
                  <c:v>2022</c:v>
                </c:pt>
                <c:pt idx="15">
                  <c:v>2023</c:v>
                </c:pt>
              </c:numCache>
            </c:numRef>
          </c:cat>
          <c:val>
            <c:numRef>
              <c:f>'внос_2008-2023,кг.,тон, куб.м.'!$B$32:$Q$32</c:f>
              <c:numCache>
                <c:formatCode>#,##0</c:formatCode>
                <c:ptCount val="16"/>
                <c:pt idx="0">
                  <c:v>247063.54699999999</c:v>
                </c:pt>
                <c:pt idx="1">
                  <c:v>203386.633</c:v>
                </c:pt>
                <c:pt idx="2">
                  <c:v>423306.20850000001</c:v>
                </c:pt>
                <c:pt idx="3">
                  <c:v>411955.45435000001</c:v>
                </c:pt>
                <c:pt idx="4">
                  <c:v>415624.39152999996</c:v>
                </c:pt>
                <c:pt idx="5">
                  <c:v>246898.68737</c:v>
                </c:pt>
                <c:pt idx="6">
                  <c:v>493903.35076</c:v>
                </c:pt>
                <c:pt idx="7">
                  <c:v>200139.25519999999</c:v>
                </c:pt>
                <c:pt idx="8">
                  <c:v>161938.91916999998</c:v>
                </c:pt>
                <c:pt idx="9">
                  <c:v>152928.43862999999</c:v>
                </c:pt>
                <c:pt idx="10">
                  <c:v>148151.0778</c:v>
                </c:pt>
                <c:pt idx="11">
                  <c:v>91902.478860000003</c:v>
                </c:pt>
                <c:pt idx="12">
                  <c:v>80771.761859999999</c:v>
                </c:pt>
                <c:pt idx="13">
                  <c:v>59347.144</c:v>
                </c:pt>
                <c:pt idx="14">
                  <c:v>20111.511440000002</c:v>
                </c:pt>
                <c:pt idx="15">
                  <c:v>11322.035199999998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'внос_2008-2023,кг.,тон, куб.м.'!$A$37</c:f>
              <c:strCache>
                <c:ptCount val="1"/>
                <c:pt idx="0">
                  <c:v> внос 4403 - тон</c:v>
                </c:pt>
              </c:strCache>
            </c:strRef>
          </c:tx>
          <c:spPr>
            <a:ln w="9525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dLbls>
            <c:dLbl>
              <c:idx val="14"/>
              <c:layout>
                <c:manualLayout>
                  <c:x val="-0.13749434644957031"/>
                  <c:y val="-0.34061618950307748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6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bg-BG"/>
                      <a:t>износ </a:t>
                    </a:r>
                    <a:fld id="{4B7B885E-6B93-4E8C-97BB-5D16F11FD86A}" type="CATEGORYNAME">
                      <a:rPr lang="en-US"/>
                      <a:pPr>
                        <a:defRPr/>
                      </a:pPr>
                      <a:t>[CATEGORY NAME]</a:t>
                    </a:fld>
                    <a:r>
                      <a:rPr lang="en-US" baseline="0"/>
                      <a:t>; </a:t>
                    </a:r>
                    <a:fld id="{226A3057-FD21-41E1-8B58-FC5A19DD7312}" type="VALUE">
                      <a:rPr lang="en-US" baseline="0"/>
                      <a:pPr>
                        <a:defRPr/>
                      </a:pPr>
                      <a:t>[VALUE]</a:t>
                    </a:fld>
                    <a:r>
                      <a:rPr lang="en-US" baseline="0"/>
                      <a:t> тона</a:t>
                    </a:r>
                  </a:p>
                </c:rich>
              </c:tx>
              <c:spPr>
                <a:solidFill>
                  <a:sysClr val="window" lastClr="FFFFFF"/>
                </a:solidFill>
                <a:ln>
                  <a:solidFill>
                    <a:sysClr val="windowText" lastClr="000000"/>
                  </a:solidFill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6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bg-BG"/>
                </a:p>
              </c:txPr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1198455823958233"/>
                      <c:h val="0.13038076458354855"/>
                    </c:manualLayout>
                  </c15:layout>
                  <c15:dlblFieldTable/>
                  <c15:showDataLabelsRange val="0"/>
                </c:ext>
              </c:extLst>
            </c:dLbl>
            <c:dLbl>
              <c:idx val="15"/>
              <c:layout>
                <c:manualLayout>
                  <c:x val="-1.7186793306196289E-2"/>
                  <c:y val="-0.25781606979564109"/>
                </c:manualLayout>
              </c:layout>
              <c:tx>
                <c:rich>
                  <a:bodyPr rot="0" spcFirstLastPara="1" vertOverflow="clip" horzOverflow="clip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600" b="0" i="0" u="none" strike="noStrike" kern="1200" baseline="0">
                        <a:solidFill>
                          <a:schemeClr val="dk1">
                            <a:lumMod val="65000"/>
                            <a:lumOff val="35000"/>
                          </a:schemeClr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bg-BG"/>
                      <a:t>износ </a:t>
                    </a:r>
                    <a:fld id="{815E4EB3-CE52-4E4F-97B1-2D79A66F11BE}" type="CATEGORYNAME">
                      <a:rPr lang="en-US"/>
                      <a:pPr>
                        <a:defRPr/>
                      </a:pPr>
                      <a:t>[CATEGORY NAME]</a:t>
                    </a:fld>
                    <a:r>
                      <a:rPr lang="en-US" baseline="0"/>
                      <a:t>; </a:t>
                    </a:r>
                    <a:fld id="{0062AFD0-9A91-4A9C-840E-22850D3DE45C}" type="VALUE">
                      <a:rPr lang="en-US" baseline="0"/>
                      <a:pPr>
                        <a:defRPr/>
                      </a:pPr>
                      <a:t>[VALUE]</a:t>
                    </a:fld>
                    <a:r>
                      <a:rPr lang="en-US" baseline="0"/>
                      <a:t> тона</a:t>
                    </a:r>
                  </a:p>
                </c:rich>
              </c:tx>
              <c:spPr>
                <a:solidFill>
                  <a:sysClr val="window" lastClr="FFFFFF"/>
                </a:solidFill>
                <a:ln>
                  <a:solidFill>
                    <a:sysClr val="windowText" lastClr="000000"/>
                  </a:solidFill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600" b="0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bg-BG"/>
                </a:p>
              </c:txPr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10718162943336289"/>
                      <c:h val="0.13420547902134025"/>
                    </c:manualLayout>
                  </c15:layout>
                  <c15:dlblFieldTable/>
                  <c15:showDataLabelsRange val="0"/>
                </c:ext>
              </c:extLst>
            </c:dLbl>
            <c:spPr>
              <a:solidFill>
                <a:sysClr val="window" lastClr="FFFFFF"/>
              </a:solidFill>
              <a:ln>
                <a:solidFill>
                  <a:sysClr val="windowText" lastClr="000000"/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600" b="0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bg-BG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  <c15:showLeaderLines val="0"/>
              </c:ext>
            </c:extLst>
          </c:dLbls>
          <c:cat>
            <c:numRef>
              <c:f>'внос_2008-2023,кг.,тон, куб.м.'!$B$4:$Q$4</c:f>
              <c:numCache>
                <c:formatCode>General</c:formatCode>
                <c:ptCount val="16"/>
                <c:pt idx="0">
                  <c:v>2008</c:v>
                </c:pt>
                <c:pt idx="1">
                  <c:v>2009</c:v>
                </c:pt>
                <c:pt idx="2">
                  <c:v>2010</c:v>
                </c:pt>
                <c:pt idx="3">
                  <c:v>2011</c:v>
                </c:pt>
                <c:pt idx="4">
                  <c:v>2012</c:v>
                </c:pt>
                <c:pt idx="5">
                  <c:v>2013</c:v>
                </c:pt>
                <c:pt idx="6">
                  <c:v>2014</c:v>
                </c:pt>
                <c:pt idx="7">
                  <c:v>2015</c:v>
                </c:pt>
                <c:pt idx="8">
                  <c:v>2016</c:v>
                </c:pt>
                <c:pt idx="9">
                  <c:v>2017</c:v>
                </c:pt>
                <c:pt idx="10">
                  <c:v>2018</c:v>
                </c:pt>
                <c:pt idx="11">
                  <c:v>2019</c:v>
                </c:pt>
                <c:pt idx="12">
                  <c:v>2020</c:v>
                </c:pt>
                <c:pt idx="13">
                  <c:v>2021</c:v>
                </c:pt>
                <c:pt idx="14">
                  <c:v>2022</c:v>
                </c:pt>
                <c:pt idx="15">
                  <c:v>2023</c:v>
                </c:pt>
              </c:numCache>
            </c:numRef>
          </c:cat>
          <c:val>
            <c:numRef>
              <c:f>'внос_2008-2023,кг.,тон, куб.м.'!$B$37:$Q$37</c:f>
              <c:numCache>
                <c:formatCode>#,##0</c:formatCode>
                <c:ptCount val="16"/>
                <c:pt idx="0">
                  <c:v>147670.18709999998</c:v>
                </c:pt>
                <c:pt idx="1">
                  <c:v>31787.066159999998</c:v>
                </c:pt>
                <c:pt idx="2">
                  <c:v>29011.043382</c:v>
                </c:pt>
                <c:pt idx="3">
                  <c:v>38891.489460000004</c:v>
                </c:pt>
                <c:pt idx="4">
                  <c:v>39396.070270000004</c:v>
                </c:pt>
                <c:pt idx="5">
                  <c:v>29247.407760000002</c:v>
                </c:pt>
                <c:pt idx="6">
                  <c:v>22008.62456</c:v>
                </c:pt>
                <c:pt idx="7">
                  <c:v>10072.121999999999</c:v>
                </c:pt>
                <c:pt idx="8">
                  <c:v>8135.576</c:v>
                </c:pt>
                <c:pt idx="9">
                  <c:v>6981.6917100000001</c:v>
                </c:pt>
                <c:pt idx="10">
                  <c:v>9660.4103300000006</c:v>
                </c:pt>
                <c:pt idx="11">
                  <c:v>10033.01729</c:v>
                </c:pt>
                <c:pt idx="12">
                  <c:v>9299.1185000000005</c:v>
                </c:pt>
                <c:pt idx="13">
                  <c:v>27278.796739999998</c:v>
                </c:pt>
                <c:pt idx="14">
                  <c:v>54050.113420000001</c:v>
                </c:pt>
                <c:pt idx="15">
                  <c:v>38026.501929999999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385880608"/>
        <c:axId val="-385880064"/>
      </c:lineChart>
      <c:catAx>
        <c:axId val="-3858806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bg-BG"/>
          </a:p>
        </c:txPr>
        <c:crossAx val="-385880064"/>
        <c:crosses val="autoZero"/>
        <c:auto val="1"/>
        <c:lblAlgn val="ctr"/>
        <c:lblOffset val="100"/>
        <c:noMultiLvlLbl val="0"/>
      </c:catAx>
      <c:valAx>
        <c:axId val="-3858800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6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bg-BG" b="1"/>
                  <a:t>ТОН</a:t>
                </a:r>
                <a:endParaRPr lang="en-US" b="1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6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bg-BG"/>
            </a:p>
          </c:txPr>
        </c:title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1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bg-BG"/>
          </a:p>
        </c:txPr>
        <c:crossAx val="-385880608"/>
        <c:crosses val="autoZero"/>
        <c:crossBetween val="between"/>
      </c:val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600" b="0" i="1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bg-BG"/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600"/>
      </a:pPr>
      <a:endParaRPr lang="bg-BG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22831298055178653"/>
          <c:y val="7.2631231429514692E-2"/>
          <c:w val="0.72869738636808801"/>
          <c:h val="0.5739037077281813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Sheet1!$D$7</c:f>
              <c:strCache>
                <c:ptCount val="1"/>
                <c:pt idx="0">
                  <c:v>% на  вноса спрямо износа ( 4401 + 4403)</c:v>
                </c:pt>
              </c:strCache>
            </c:strRef>
          </c:tx>
          <c:spPr>
            <a:solidFill>
              <a:schemeClr val="accent6">
                <a:lumMod val="40000"/>
                <a:lumOff val="60000"/>
              </a:schemeClr>
            </a:solidFill>
            <a:ln>
              <a:solidFill>
                <a:schemeClr val="accent6">
                  <a:lumMod val="40000"/>
                  <a:lumOff val="60000"/>
                </a:schemeClr>
              </a:solidFill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chemeClr val="accent6"/>
                    </a:solidFill>
                    <a:latin typeface="+mn-lt"/>
                    <a:ea typeface="+mn-ea"/>
                    <a:cs typeface="+mn-cs"/>
                  </a:defRPr>
                </a:pPr>
                <a:endParaRPr lang="bg-BG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Sheet1!$E$6:$V$6</c:f>
              <c:strCache>
                <c:ptCount val="18"/>
                <c:pt idx="0">
                  <c:v>2008 г.</c:v>
                </c:pt>
                <c:pt idx="1">
                  <c:v>2009 г.</c:v>
                </c:pt>
                <c:pt idx="2">
                  <c:v>2010 г.</c:v>
                </c:pt>
                <c:pt idx="3">
                  <c:v>2011 г.</c:v>
                </c:pt>
                <c:pt idx="4">
                  <c:v>2012 г.</c:v>
                </c:pt>
                <c:pt idx="5">
                  <c:v>2013 г.</c:v>
                </c:pt>
                <c:pt idx="6">
                  <c:v>2014 г.</c:v>
                </c:pt>
                <c:pt idx="7">
                  <c:v>2015 г.</c:v>
                </c:pt>
                <c:pt idx="8">
                  <c:v>2016 г.</c:v>
                </c:pt>
                <c:pt idx="9">
                  <c:v>2017 г.</c:v>
                </c:pt>
                <c:pt idx="10">
                  <c:v>2018 г.</c:v>
                </c:pt>
                <c:pt idx="11">
                  <c:v>ср. год. за периода 2008 г.-2018 г.</c:v>
                </c:pt>
                <c:pt idx="12">
                  <c:v>2019 г.</c:v>
                </c:pt>
                <c:pt idx="13">
                  <c:v>2020 г.</c:v>
                </c:pt>
                <c:pt idx="14">
                  <c:v>2021 г.</c:v>
                </c:pt>
                <c:pt idx="15">
                  <c:v>2022 г.</c:v>
                </c:pt>
                <c:pt idx="16">
                  <c:v>2023 г.</c:v>
                </c:pt>
                <c:pt idx="17">
                  <c:v>ср. год. за периода 2008 г.-2023 г.</c:v>
                </c:pt>
              </c:strCache>
            </c:strRef>
          </c:cat>
          <c:val>
            <c:numRef>
              <c:f>Sheet1!$E$7:$V$7</c:f>
              <c:numCache>
                <c:formatCode>0.00</c:formatCode>
                <c:ptCount val="18"/>
                <c:pt idx="0">
                  <c:v>43.445528677856039</c:v>
                </c:pt>
                <c:pt idx="1">
                  <c:v>12.008748078553731</c:v>
                </c:pt>
                <c:pt idx="2">
                  <c:v>5.0643193747857218</c:v>
                </c:pt>
                <c:pt idx="3">
                  <c:v>6.3142198709147017</c:v>
                </c:pt>
                <c:pt idx="4">
                  <c:v>8.1230945319913435</c:v>
                </c:pt>
                <c:pt idx="5">
                  <c:v>6.2165149228420571</c:v>
                </c:pt>
                <c:pt idx="6">
                  <c:v>3.7329187222375659</c:v>
                </c:pt>
                <c:pt idx="7">
                  <c:v>7.1060895955245167</c:v>
                </c:pt>
                <c:pt idx="8">
                  <c:v>12.214327408670821</c:v>
                </c:pt>
                <c:pt idx="9">
                  <c:v>6.4368336045907411</c:v>
                </c:pt>
                <c:pt idx="10">
                  <c:v>11.078910685505114</c:v>
                </c:pt>
                <c:pt idx="11" formatCode="#,##0.00">
                  <c:v>8.8555418453825574</c:v>
                </c:pt>
                <c:pt idx="12">
                  <c:v>19.889614392865717</c:v>
                </c:pt>
                <c:pt idx="13">
                  <c:v>27.537774307846654</c:v>
                </c:pt>
                <c:pt idx="14">
                  <c:v>49.484484239397794</c:v>
                </c:pt>
                <c:pt idx="15">
                  <c:v>99.837604224806299</c:v>
                </c:pt>
                <c:pt idx="16">
                  <c:v>75.98425807024806</c:v>
                </c:pt>
                <c:pt idx="17" formatCode="#,##0.00">
                  <c:v>15.134909021293085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-357680096"/>
        <c:axId val="-357680640"/>
      </c:barChart>
      <c:lineChart>
        <c:grouping val="standard"/>
        <c:varyColors val="0"/>
        <c:ser>
          <c:idx val="1"/>
          <c:order val="1"/>
          <c:tx>
            <c:strRef>
              <c:f>Sheet1!$D$8</c:f>
              <c:strCache>
                <c:ptCount val="1"/>
                <c:pt idx="0">
                  <c:v>износ по код (4401+4403) в тон</c:v>
                </c:pt>
              </c:strCache>
            </c:strRef>
          </c:tx>
          <c:spPr>
            <a:ln w="9525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cat>
            <c:strRef>
              <c:f>Sheet1!$E$6:$V$6</c:f>
              <c:strCache>
                <c:ptCount val="18"/>
                <c:pt idx="0">
                  <c:v>2008 г.</c:v>
                </c:pt>
                <c:pt idx="1">
                  <c:v>2009 г.</c:v>
                </c:pt>
                <c:pt idx="2">
                  <c:v>2010 г.</c:v>
                </c:pt>
                <c:pt idx="3">
                  <c:v>2011 г.</c:v>
                </c:pt>
                <c:pt idx="4">
                  <c:v>2012 г.</c:v>
                </c:pt>
                <c:pt idx="5">
                  <c:v>2013 г.</c:v>
                </c:pt>
                <c:pt idx="6">
                  <c:v>2014 г.</c:v>
                </c:pt>
                <c:pt idx="7">
                  <c:v>2015 г.</c:v>
                </c:pt>
                <c:pt idx="8">
                  <c:v>2016 г.</c:v>
                </c:pt>
                <c:pt idx="9">
                  <c:v>2017 г.</c:v>
                </c:pt>
                <c:pt idx="10">
                  <c:v>2018 г.</c:v>
                </c:pt>
                <c:pt idx="11">
                  <c:v>ср. год. за периода 2008 г.-2018 г.</c:v>
                </c:pt>
                <c:pt idx="12">
                  <c:v>2019 г.</c:v>
                </c:pt>
                <c:pt idx="13">
                  <c:v>2020 г.</c:v>
                </c:pt>
                <c:pt idx="14">
                  <c:v>2021 г.</c:v>
                </c:pt>
                <c:pt idx="15">
                  <c:v>2022 г.</c:v>
                </c:pt>
                <c:pt idx="16">
                  <c:v>2023 г.</c:v>
                </c:pt>
                <c:pt idx="17">
                  <c:v>ср. год. за периода 2008 г.-2023 г.</c:v>
                </c:pt>
              </c:strCache>
            </c:strRef>
          </c:cat>
          <c:val>
            <c:numRef>
              <c:f>Sheet1!$E$8:$V$8</c:f>
              <c:numCache>
                <c:formatCode>#,##0</c:formatCode>
                <c:ptCount val="18"/>
                <c:pt idx="0">
                  <c:v>356206.88751999999</c:v>
                </c:pt>
                <c:pt idx="1">
                  <c:v>300602.22525999998</c:v>
                </c:pt>
                <c:pt idx="2">
                  <c:v>642523.44084000005</c:v>
                </c:pt>
                <c:pt idx="3">
                  <c:v>818757.45468000008</c:v>
                </c:pt>
                <c:pt idx="4">
                  <c:v>913221.50823000004</c:v>
                </c:pt>
                <c:pt idx="5">
                  <c:v>719198.6974200001</c:v>
                </c:pt>
                <c:pt idx="6">
                  <c:v>1214574.09399</c:v>
                </c:pt>
                <c:pt idx="7">
                  <c:v>852895.29150000005</c:v>
                </c:pt>
                <c:pt idx="8">
                  <c:v>575507.05681999994</c:v>
                </c:pt>
                <c:pt idx="9">
                  <c:v>675986.87092000013</c:v>
                </c:pt>
                <c:pt idx="10">
                  <c:v>553398.85518000007</c:v>
                </c:pt>
                <c:pt idx="11">
                  <c:v>692988.3983963636</c:v>
                </c:pt>
                <c:pt idx="12">
                  <c:v>496488.24718000001</c:v>
                </c:pt>
                <c:pt idx="13">
                  <c:v>400172.09346000006</c:v>
                </c:pt>
                <c:pt idx="14">
                  <c:v>336568.61780000001</c:v>
                </c:pt>
                <c:pt idx="15">
                  <c:v>225397.79717999999</c:v>
                </c:pt>
                <c:pt idx="16">
                  <c:v>162534.01078000001</c:v>
                </c:pt>
                <c:pt idx="17">
                  <c:v>577752.0717974999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Sheet1!$D$9</c:f>
              <c:strCache>
                <c:ptCount val="1"/>
                <c:pt idx="0">
                  <c:v>внос по код (4401+4403)- тон</c:v>
                </c:pt>
              </c:strCache>
            </c:strRef>
          </c:tx>
          <c:spPr>
            <a:ln w="6350" cap="rnd">
              <a:solidFill>
                <a:schemeClr val="tx1"/>
              </a:solidFill>
              <a:round/>
            </a:ln>
            <a:effectLst/>
          </c:spPr>
          <c:marker>
            <c:symbol val="none"/>
          </c:marker>
          <c:cat>
            <c:strRef>
              <c:f>Sheet1!$E$6:$V$6</c:f>
              <c:strCache>
                <c:ptCount val="18"/>
                <c:pt idx="0">
                  <c:v>2008 г.</c:v>
                </c:pt>
                <c:pt idx="1">
                  <c:v>2009 г.</c:v>
                </c:pt>
                <c:pt idx="2">
                  <c:v>2010 г.</c:v>
                </c:pt>
                <c:pt idx="3">
                  <c:v>2011 г.</c:v>
                </c:pt>
                <c:pt idx="4">
                  <c:v>2012 г.</c:v>
                </c:pt>
                <c:pt idx="5">
                  <c:v>2013 г.</c:v>
                </c:pt>
                <c:pt idx="6">
                  <c:v>2014 г.</c:v>
                </c:pt>
                <c:pt idx="7">
                  <c:v>2015 г.</c:v>
                </c:pt>
                <c:pt idx="8">
                  <c:v>2016 г.</c:v>
                </c:pt>
                <c:pt idx="9">
                  <c:v>2017 г.</c:v>
                </c:pt>
                <c:pt idx="10">
                  <c:v>2018 г.</c:v>
                </c:pt>
                <c:pt idx="11">
                  <c:v>ср. год. за периода 2008 г.-2018 г.</c:v>
                </c:pt>
                <c:pt idx="12">
                  <c:v>2019 г.</c:v>
                </c:pt>
                <c:pt idx="13">
                  <c:v>2020 г.</c:v>
                </c:pt>
                <c:pt idx="14">
                  <c:v>2021 г.</c:v>
                </c:pt>
                <c:pt idx="15">
                  <c:v>2022 г.</c:v>
                </c:pt>
                <c:pt idx="16">
                  <c:v>2023 г.</c:v>
                </c:pt>
                <c:pt idx="17">
                  <c:v>ср. год. за периода 2008 г.-2023 г.</c:v>
                </c:pt>
              </c:strCache>
            </c:strRef>
          </c:cat>
          <c:val>
            <c:numRef>
              <c:f>Sheet1!$E$9:$V$9</c:f>
              <c:numCache>
                <c:formatCode>#,##0</c:formatCode>
                <c:ptCount val="18"/>
                <c:pt idx="0">
                  <c:v>154755.96547</c:v>
                </c:pt>
                <c:pt idx="1">
                  <c:v>36098.563950000003</c:v>
                </c:pt>
                <c:pt idx="2">
                  <c:v>32539.439101999997</c:v>
                </c:pt>
                <c:pt idx="3">
                  <c:v>51698.145898000002</c:v>
                </c:pt>
                <c:pt idx="4">
                  <c:v>74181.846400000009</c:v>
                </c:pt>
                <c:pt idx="5">
                  <c:v>44709.094349999999</c:v>
                </c:pt>
                <c:pt idx="6">
                  <c:v>45339.063750000001</c:v>
                </c:pt>
                <c:pt idx="7">
                  <c:v>60607.503570000001</c:v>
                </c:pt>
                <c:pt idx="8">
                  <c:v>70294.316180000009</c:v>
                </c:pt>
                <c:pt idx="9">
                  <c:v>43512.150070000003</c:v>
                </c:pt>
                <c:pt idx="10">
                  <c:v>61310.564899999998</c:v>
                </c:pt>
                <c:pt idx="11">
                  <c:v>61367.877603636363</c:v>
                </c:pt>
                <c:pt idx="12">
                  <c:v>98749.597869999998</c:v>
                </c:pt>
                <c:pt idx="13">
                  <c:v>110198.48793999999</c:v>
                </c:pt>
                <c:pt idx="14">
                  <c:v>166549.24463</c:v>
                </c:pt>
                <c:pt idx="15">
                  <c:v>225031.76068000001</c:v>
                </c:pt>
                <c:pt idx="16">
                  <c:v>123500.26220300001</c:v>
                </c:pt>
                <c:pt idx="17">
                  <c:v>87442.25043518751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357687712"/>
        <c:axId val="-357693696"/>
      </c:lineChart>
      <c:catAx>
        <c:axId val="-3576877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bg-BG"/>
          </a:p>
        </c:txPr>
        <c:crossAx val="-357693696"/>
        <c:crosses val="autoZero"/>
        <c:auto val="1"/>
        <c:lblAlgn val="ctr"/>
        <c:lblOffset val="100"/>
        <c:noMultiLvlLbl val="0"/>
      </c:catAx>
      <c:valAx>
        <c:axId val="-3576936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6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bg-BG" b="1"/>
                  <a:t>тон</a:t>
                </a:r>
                <a:endParaRPr lang="en-US" b="1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6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bg-BG"/>
            </a:p>
          </c:txPr>
        </c:title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1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bg-BG"/>
          </a:p>
        </c:txPr>
        <c:crossAx val="-357687712"/>
        <c:crosses val="autoZero"/>
        <c:crossBetween val="between"/>
      </c:valAx>
      <c:valAx>
        <c:axId val="-357680640"/>
        <c:scaling>
          <c:orientation val="minMax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6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/>
                  <a:t>%</a:t>
                </a:r>
              </a:p>
            </c:rich>
          </c:tx>
          <c:layout>
            <c:manualLayout>
              <c:xMode val="edge"/>
              <c:yMode val="edge"/>
              <c:x val="0.97038680618498419"/>
              <c:y val="0.7641187835534768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6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bg-BG"/>
            </a:p>
          </c:txPr>
        </c:title>
        <c:numFmt formatCode="0.00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1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bg-BG"/>
          </a:p>
        </c:txPr>
        <c:crossAx val="-357680096"/>
        <c:crosses val="max"/>
        <c:crossBetween val="between"/>
      </c:valAx>
      <c:catAx>
        <c:axId val="-357680096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357680640"/>
        <c:crosses val="autoZero"/>
        <c:auto val="1"/>
        <c:lblAlgn val="ctr"/>
        <c:lblOffset val="100"/>
        <c:noMultiLvlLbl val="0"/>
      </c:cat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600" b="0" i="1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bg-BG"/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600"/>
      </a:pPr>
      <a:endParaRPr lang="bg-BG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3535987913783204"/>
          <c:y val="3.7243947858473E-2"/>
          <c:w val="0.60859658070691469"/>
          <c:h val="0.62876379016606709"/>
        </c:manualLayout>
      </c:layout>
      <c:barChart>
        <c:barDir val="col"/>
        <c:grouping val="clustered"/>
        <c:varyColors val="0"/>
        <c:ser>
          <c:idx val="2"/>
          <c:order val="2"/>
          <c:tx>
            <c:strRef>
              <c:f>'% износ от добива (2)'!$D$7</c:f>
              <c:strCache>
                <c:ptCount val="1"/>
                <c:pt idx="0">
                  <c:v>% на износа от общия обем добита обла лежаща дървесина </c:v>
                </c:pt>
              </c:strCache>
            </c:strRef>
          </c:tx>
          <c:spPr>
            <a:solidFill>
              <a:schemeClr val="accent6">
                <a:lumMod val="20000"/>
                <a:lumOff val="8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6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bg-BG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val>
            <c:numRef>
              <c:f>'% износ от добива (2)'!$E$7:$L$7</c:f>
              <c:numCache>
                <c:formatCode>0.00</c:formatCode>
                <c:ptCount val="8"/>
                <c:pt idx="0">
                  <c:v>11.139017112471407</c:v>
                </c:pt>
                <c:pt idx="1">
                  <c:v>8.9929332666553954</c:v>
                </c:pt>
                <c:pt idx="2">
                  <c:v>8.5052424124870569</c:v>
                </c:pt>
                <c:pt idx="3">
                  <c:v>7.943295423755897</c:v>
                </c:pt>
                <c:pt idx="4">
                  <c:v>6.5158834929878662</c:v>
                </c:pt>
                <c:pt idx="5">
                  <c:v>4.0144446887701619</c:v>
                </c:pt>
                <c:pt idx="6">
                  <c:v>3.5483330553930257</c:v>
                </c:pt>
                <c:pt idx="7">
                  <c:v>7.4120564742630242</c:v>
                </c:pt>
              </c:numCache>
            </c:numRef>
          </c:val>
        </c:ser>
        <c:ser>
          <c:idx val="4"/>
          <c:order val="4"/>
          <c:tx>
            <c:strRef>
              <c:f>'% износ от добива (2)'!$D$9</c:f>
              <c:strCache>
                <c:ptCount val="1"/>
                <c:pt idx="0">
                  <c:v>% на вноса от общия обем добита обла лежаща дървесина </c:v>
                </c:pt>
              </c:strCache>
            </c:strRef>
          </c:tx>
          <c:spPr>
            <a:solidFill>
              <a:schemeClr val="accent6">
                <a:lumMod val="40000"/>
                <a:lumOff val="60000"/>
              </a:schemeClr>
            </a:solidFill>
            <a:ln>
              <a:solidFill>
                <a:schemeClr val="accent6">
                  <a:lumMod val="40000"/>
                  <a:lumOff val="60000"/>
                </a:schemeClr>
              </a:solidFill>
            </a:ln>
            <a:effectLst/>
          </c:spPr>
          <c:invertIfNegative val="0"/>
          <c:dLbls>
            <c:dLbl>
              <c:idx val="5"/>
              <c:layout>
                <c:manualLayout>
                  <c:x val="1.9900497512437811E-2"/>
                  <c:y val="-5.755882850854918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6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bg-BG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'% износ от добива (2)'!$E$4:$L$4</c:f>
              <c:strCache>
                <c:ptCount val="8"/>
                <c:pt idx="0">
                  <c:v>2017 г.</c:v>
                </c:pt>
                <c:pt idx="1">
                  <c:v>2018 г. </c:v>
                </c:pt>
                <c:pt idx="2">
                  <c:v>2019 г.</c:v>
                </c:pt>
                <c:pt idx="3">
                  <c:v>2020 г.</c:v>
                </c:pt>
                <c:pt idx="4">
                  <c:v>2021 г.</c:v>
                </c:pt>
                <c:pt idx="5">
                  <c:v>2022 г.</c:v>
                </c:pt>
                <c:pt idx="6">
                  <c:v>2023 г.</c:v>
                </c:pt>
                <c:pt idx="7">
                  <c:v>средногодишно за периода 2017 г. -2023 г.</c:v>
                </c:pt>
              </c:strCache>
            </c:strRef>
          </c:cat>
          <c:val>
            <c:numRef>
              <c:f>'% износ от добива (2)'!$E$9:$L$9</c:f>
              <c:numCache>
                <c:formatCode>0.00</c:formatCode>
                <c:ptCount val="8"/>
                <c:pt idx="0">
                  <c:v>0.71700039014115513</c:v>
                </c:pt>
                <c:pt idx="1">
                  <c:v>0.99631878389126938</c:v>
                </c:pt>
                <c:pt idx="2">
                  <c:v>1.691660335320136</c:v>
                </c:pt>
                <c:pt idx="3">
                  <c:v>2.1874045441868728</c:v>
                </c:pt>
                <c:pt idx="4">
                  <c:v>3.2243500736601809</c:v>
                </c:pt>
                <c:pt idx="5">
                  <c:v>4.0079329072329442</c:v>
                </c:pt>
                <c:pt idx="6">
                  <c:v>2.6961767983727132</c:v>
                </c:pt>
                <c:pt idx="7">
                  <c:v>2.1552004667166815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-357690432"/>
        <c:axId val="-357690976"/>
      </c:barChart>
      <c:lineChart>
        <c:grouping val="standard"/>
        <c:varyColors val="0"/>
        <c:ser>
          <c:idx val="0"/>
          <c:order val="0"/>
          <c:tx>
            <c:strRef>
              <c:f>'% износ от добива (2)'!$D$5</c:f>
              <c:strCache>
                <c:ptCount val="1"/>
                <c:pt idx="0">
                  <c:v>добита дървесина от всички горски територии  (без  ССФ) обла лежаща дървесина в пл.куб. м.</c:v>
                </c:pt>
              </c:strCache>
            </c:strRef>
          </c:tx>
          <c:spPr>
            <a:ln w="9525" cap="rnd">
              <a:solidFill>
                <a:srgbClr val="FF00FF"/>
              </a:solidFill>
              <a:round/>
            </a:ln>
            <a:effectLst/>
          </c:spPr>
          <c:marker>
            <c:symbol val="none"/>
          </c:marker>
          <c:cat>
            <c:strRef>
              <c:f>'% износ от добива (2)'!$E$4:$L$4</c:f>
              <c:strCache>
                <c:ptCount val="8"/>
                <c:pt idx="0">
                  <c:v>2017 г.</c:v>
                </c:pt>
                <c:pt idx="1">
                  <c:v>2018 г. </c:v>
                </c:pt>
                <c:pt idx="2">
                  <c:v>2019 г.</c:v>
                </c:pt>
                <c:pt idx="3">
                  <c:v>2020 г.</c:v>
                </c:pt>
                <c:pt idx="4">
                  <c:v>2021 г.</c:v>
                </c:pt>
                <c:pt idx="5">
                  <c:v>2022 г.</c:v>
                </c:pt>
                <c:pt idx="6">
                  <c:v>2023 г.</c:v>
                </c:pt>
                <c:pt idx="7">
                  <c:v>средногодишно за периода 2017 г. -2023 г.</c:v>
                </c:pt>
              </c:strCache>
            </c:strRef>
          </c:cat>
          <c:val>
            <c:numRef>
              <c:f>'% износ от добива (2)'!$E$5:$L$5</c:f>
              <c:numCache>
                <c:formatCode>General</c:formatCode>
                <c:ptCount val="8"/>
                <c:pt idx="0">
                  <c:v>6935585</c:v>
                </c:pt>
                <c:pt idx="1">
                  <c:v>7032811</c:v>
                </c:pt>
                <c:pt idx="2">
                  <c:v>6671356</c:v>
                </c:pt>
                <c:pt idx="3">
                  <c:v>5757560</c:v>
                </c:pt>
                <c:pt idx="4">
                  <c:v>5903267</c:v>
                </c:pt>
                <c:pt idx="5">
                  <c:v>6416753</c:v>
                </c:pt>
                <c:pt idx="6">
                  <c:v>5234937</c:v>
                </c:pt>
                <c:pt idx="7" formatCode="0">
                  <c:v>6278896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'% износ от добива (2)'!$D$6</c:f>
              <c:strCache>
                <c:ptCount val="1"/>
                <c:pt idx="0">
                  <c:v>Износ общо - дърва за горене и необработен дървен материал (код 4401 + код 4403) - куб. м.</c:v>
                </c:pt>
              </c:strCache>
            </c:strRef>
          </c:tx>
          <c:spPr>
            <a:ln w="9525" cap="rnd">
              <a:solidFill>
                <a:srgbClr val="FF0000"/>
              </a:solidFill>
              <a:prstDash val="dash"/>
              <a:round/>
            </a:ln>
            <a:effectLst/>
          </c:spPr>
          <c:marker>
            <c:symbol val="none"/>
          </c:marker>
          <c:cat>
            <c:strRef>
              <c:f>'% износ от добива (2)'!$E$4:$L$4</c:f>
              <c:strCache>
                <c:ptCount val="8"/>
                <c:pt idx="0">
                  <c:v>2017 г.</c:v>
                </c:pt>
                <c:pt idx="1">
                  <c:v>2018 г. </c:v>
                </c:pt>
                <c:pt idx="2">
                  <c:v>2019 г.</c:v>
                </c:pt>
                <c:pt idx="3">
                  <c:v>2020 г.</c:v>
                </c:pt>
                <c:pt idx="4">
                  <c:v>2021 г.</c:v>
                </c:pt>
                <c:pt idx="5">
                  <c:v>2022 г.</c:v>
                </c:pt>
                <c:pt idx="6">
                  <c:v>2023 г.</c:v>
                </c:pt>
                <c:pt idx="7">
                  <c:v>средногодишно за периода 2017 г. -2023 г.</c:v>
                </c:pt>
              </c:strCache>
            </c:strRef>
          </c:cat>
          <c:val>
            <c:numRef>
              <c:f>'% износ от добива (2)'!$E$6:$L$6</c:f>
              <c:numCache>
                <c:formatCode>General</c:formatCode>
                <c:ptCount val="8"/>
                <c:pt idx="0">
                  <c:v>772556</c:v>
                </c:pt>
                <c:pt idx="1">
                  <c:v>632456</c:v>
                </c:pt>
                <c:pt idx="2">
                  <c:v>567415</c:v>
                </c:pt>
                <c:pt idx="3">
                  <c:v>457340</c:v>
                </c:pt>
                <c:pt idx="4">
                  <c:v>384650</c:v>
                </c:pt>
                <c:pt idx="5">
                  <c:v>257597</c:v>
                </c:pt>
                <c:pt idx="6">
                  <c:v>185753</c:v>
                </c:pt>
                <c:pt idx="7" formatCode="0">
                  <c:v>465395</c:v>
                </c:pt>
              </c:numCache>
            </c:numRef>
          </c:val>
          <c:smooth val="0"/>
        </c:ser>
        <c:ser>
          <c:idx val="3"/>
          <c:order val="3"/>
          <c:tx>
            <c:strRef>
              <c:f>'% износ от добива (2)'!$D$8</c:f>
              <c:strCache>
                <c:ptCount val="1"/>
                <c:pt idx="0">
                  <c:v>Внос общо - дърва за горене и необработен дървен материал (код 4401 + код 4403) - куб. м.</c:v>
                </c:pt>
              </c:strCache>
            </c:strRef>
          </c:tx>
          <c:spPr>
            <a:ln w="12700" cap="rnd">
              <a:solidFill>
                <a:sysClr val="windowText" lastClr="000000"/>
              </a:solidFill>
              <a:round/>
            </a:ln>
            <a:effectLst/>
          </c:spPr>
          <c:marker>
            <c:symbol val="none"/>
          </c:marker>
          <c:cat>
            <c:strRef>
              <c:f>'% износ от добива (2)'!$E$4:$L$4</c:f>
              <c:strCache>
                <c:ptCount val="8"/>
                <c:pt idx="0">
                  <c:v>2017 г.</c:v>
                </c:pt>
                <c:pt idx="1">
                  <c:v>2018 г. </c:v>
                </c:pt>
                <c:pt idx="2">
                  <c:v>2019 г.</c:v>
                </c:pt>
                <c:pt idx="3">
                  <c:v>2020 г.</c:v>
                </c:pt>
                <c:pt idx="4">
                  <c:v>2021 г.</c:v>
                </c:pt>
                <c:pt idx="5">
                  <c:v>2022 г.</c:v>
                </c:pt>
                <c:pt idx="6">
                  <c:v>2023 г.</c:v>
                </c:pt>
                <c:pt idx="7">
                  <c:v>средногодишно за периода 2017 г. -2023 г.</c:v>
                </c:pt>
              </c:strCache>
            </c:strRef>
          </c:cat>
          <c:val>
            <c:numRef>
              <c:f>'% износ от добива (2)'!$E$8:$L$8</c:f>
              <c:numCache>
                <c:formatCode>#,##0</c:formatCode>
                <c:ptCount val="8"/>
                <c:pt idx="0">
                  <c:v>49728.171508571431</c:v>
                </c:pt>
                <c:pt idx="1">
                  <c:v>70069.217028571424</c:v>
                </c:pt>
                <c:pt idx="2">
                  <c:v>112856.68328000001</c:v>
                </c:pt>
                <c:pt idx="3">
                  <c:v>125941.12907428571</c:v>
                </c:pt>
                <c:pt idx="4">
                  <c:v>190341.99386285714</c:v>
                </c:pt>
                <c:pt idx="5">
                  <c:v>257179.15506285714</c:v>
                </c:pt>
                <c:pt idx="6">
                  <c:v>141143.15680342857</c:v>
                </c:pt>
                <c:pt idx="7" formatCode="0">
                  <c:v>135322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357686624"/>
        <c:axId val="-357683904"/>
      </c:lineChart>
      <c:catAx>
        <c:axId val="-3576866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bg-BG"/>
          </a:p>
        </c:txPr>
        <c:crossAx val="-357683904"/>
        <c:crosses val="autoZero"/>
        <c:auto val="1"/>
        <c:lblAlgn val="ctr"/>
        <c:lblOffset val="100"/>
        <c:noMultiLvlLbl val="0"/>
      </c:catAx>
      <c:valAx>
        <c:axId val="-3576839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6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bg-BG" b="1"/>
                  <a:t>пл. куб. м.</a:t>
                </a:r>
                <a:endParaRPr lang="en-US" b="1"/>
              </a:p>
            </c:rich>
          </c:tx>
          <c:layout>
            <c:manualLayout>
              <c:xMode val="edge"/>
              <c:yMode val="edge"/>
              <c:x val="0.15739484396200815"/>
              <c:y val="0.3593174520020954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6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bg-BG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1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bg-BG"/>
          </a:p>
        </c:txPr>
        <c:crossAx val="-357686624"/>
        <c:crosses val="autoZero"/>
        <c:crossBetween val="between"/>
      </c:valAx>
      <c:valAx>
        <c:axId val="-357690976"/>
        <c:scaling>
          <c:orientation val="minMax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6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bg-BG"/>
                  <a:t>%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0.97493422017899944"/>
              <c:y val="0.7767229443742809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6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bg-BG"/>
            </a:p>
          </c:txPr>
        </c:title>
        <c:numFmt formatCode="0.00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600" b="0" i="1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bg-BG"/>
          </a:p>
        </c:txPr>
        <c:crossAx val="-357690432"/>
        <c:crosses val="max"/>
        <c:crossBetween val="between"/>
      </c:valAx>
      <c:catAx>
        <c:axId val="-35769043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357690976"/>
        <c:crosses val="autoZero"/>
        <c:auto val="1"/>
        <c:lblAlgn val="ctr"/>
        <c:lblOffset val="100"/>
        <c:noMultiLvlLbl val="0"/>
      </c:catAx>
      <c:dTable>
        <c:showHorzBorder val="1"/>
        <c:showVertBorder val="1"/>
        <c:showOutline val="1"/>
        <c:showKeys val="1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 rtl="0">
              <a:defRPr sz="600" b="0" i="1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bg-BG"/>
          </a:p>
        </c:txPr>
      </c:dTable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600"/>
      </a:pPr>
      <a:endParaRPr lang="bg-BG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5</Pages>
  <Words>1480</Words>
  <Characters>8441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560Kutina</cp:lastModifiedBy>
  <cp:revision>8</cp:revision>
  <cp:lastPrinted>2024-06-27T09:23:00Z</cp:lastPrinted>
  <dcterms:created xsi:type="dcterms:W3CDTF">2024-06-28T06:30:00Z</dcterms:created>
  <dcterms:modified xsi:type="dcterms:W3CDTF">2024-07-01T11:51:00Z</dcterms:modified>
</cp:coreProperties>
</file>